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52E4" w14:textId="77777777" w:rsidR="00C25C7D" w:rsidRPr="008B4DA8" w:rsidRDefault="00C25C7D" w:rsidP="00360FB0">
      <w:pPr>
        <w:pStyle w:val="Title"/>
        <w:jc w:val="both"/>
        <w:rPr>
          <w:sz w:val="20"/>
        </w:rPr>
      </w:pPr>
      <w:r w:rsidRPr="008B4DA8">
        <w:rPr>
          <w:sz w:val="20"/>
        </w:rPr>
        <w:t xml:space="preserve">PROGRAMME SPECIFICATION </w:t>
      </w:r>
    </w:p>
    <w:p w14:paraId="4941D7F5" w14:textId="77777777" w:rsidR="00C25C7D" w:rsidRPr="008B4DA8" w:rsidRDefault="00C25C7D" w:rsidP="00360FB0">
      <w:pPr>
        <w:pStyle w:val="Footer"/>
        <w:jc w:val="both"/>
        <w:rPr>
          <w:rFonts w:cs="Arial"/>
          <w:sz w:val="20"/>
        </w:rPr>
      </w:pPr>
    </w:p>
    <w:tbl>
      <w:tblPr>
        <w:tblW w:w="0" w:type="auto"/>
        <w:tblLayout w:type="fixed"/>
        <w:tblLook w:val="0000" w:firstRow="0" w:lastRow="0" w:firstColumn="0" w:lastColumn="0" w:noHBand="0" w:noVBand="0"/>
      </w:tblPr>
      <w:tblGrid>
        <w:gridCol w:w="4410"/>
        <w:gridCol w:w="3642"/>
      </w:tblGrid>
      <w:tr w:rsidR="00B3381F" w:rsidRPr="008B4DA8" w14:paraId="6616AF9A" w14:textId="77777777">
        <w:tblPrEx>
          <w:tblCellMar>
            <w:top w:w="0" w:type="dxa"/>
            <w:bottom w:w="0" w:type="dxa"/>
          </w:tblCellMar>
        </w:tblPrEx>
        <w:tc>
          <w:tcPr>
            <w:tcW w:w="4410" w:type="dxa"/>
          </w:tcPr>
          <w:p w14:paraId="21D3B629" w14:textId="77777777" w:rsidR="00B3381F" w:rsidRPr="008B4DA8" w:rsidRDefault="00B3381F" w:rsidP="00B3381F">
            <w:pPr>
              <w:pStyle w:val="Heading1"/>
            </w:pPr>
            <w:r w:rsidRPr="008B4DA8">
              <w:t>Awarding Institution</w:t>
            </w:r>
          </w:p>
        </w:tc>
        <w:tc>
          <w:tcPr>
            <w:tcW w:w="3642" w:type="dxa"/>
          </w:tcPr>
          <w:p w14:paraId="520006EE" w14:textId="77777777" w:rsidR="00B3381F" w:rsidRPr="008B4DA8" w:rsidRDefault="00B3381F" w:rsidP="00360FB0">
            <w:pPr>
              <w:jc w:val="both"/>
              <w:rPr>
                <w:rFonts w:cs="Arial"/>
                <w:sz w:val="20"/>
              </w:rPr>
            </w:pPr>
            <w:r w:rsidRPr="008B4DA8">
              <w:rPr>
                <w:rFonts w:cs="Arial"/>
                <w:sz w:val="20"/>
              </w:rPr>
              <w:t>University of Huddersfield</w:t>
            </w:r>
          </w:p>
        </w:tc>
      </w:tr>
      <w:tr w:rsidR="00B3381F" w:rsidRPr="008B4DA8" w14:paraId="43FEFC34" w14:textId="77777777">
        <w:tblPrEx>
          <w:tblCellMar>
            <w:top w:w="0" w:type="dxa"/>
            <w:bottom w:w="0" w:type="dxa"/>
          </w:tblCellMar>
        </w:tblPrEx>
        <w:tc>
          <w:tcPr>
            <w:tcW w:w="4410" w:type="dxa"/>
          </w:tcPr>
          <w:p w14:paraId="2AA697CE" w14:textId="77777777" w:rsidR="00B3381F" w:rsidRPr="008B4DA8" w:rsidRDefault="00B3381F" w:rsidP="00B3381F">
            <w:pPr>
              <w:pStyle w:val="Heading1"/>
            </w:pPr>
            <w:r w:rsidRPr="008B4DA8">
              <w:t>Teaching Institution</w:t>
            </w:r>
          </w:p>
        </w:tc>
        <w:tc>
          <w:tcPr>
            <w:tcW w:w="3642" w:type="dxa"/>
          </w:tcPr>
          <w:p w14:paraId="541A9147" w14:textId="77777777" w:rsidR="00B3381F" w:rsidRPr="008B4DA8" w:rsidRDefault="00B3381F" w:rsidP="00360FB0">
            <w:pPr>
              <w:jc w:val="both"/>
              <w:rPr>
                <w:rFonts w:cs="Arial"/>
                <w:sz w:val="20"/>
              </w:rPr>
            </w:pPr>
            <w:r w:rsidRPr="008B4DA8">
              <w:rPr>
                <w:rFonts w:cs="Arial"/>
                <w:sz w:val="20"/>
              </w:rPr>
              <w:t>The University of Huddersfield</w:t>
            </w:r>
          </w:p>
          <w:p w14:paraId="1A4429A9" w14:textId="77777777" w:rsidR="00B3381F" w:rsidRPr="008B4DA8" w:rsidRDefault="00B3381F" w:rsidP="00360FB0">
            <w:pPr>
              <w:jc w:val="both"/>
              <w:rPr>
                <w:rFonts w:cs="Arial"/>
                <w:sz w:val="20"/>
              </w:rPr>
            </w:pPr>
          </w:p>
        </w:tc>
      </w:tr>
      <w:tr w:rsidR="00B3381F" w:rsidRPr="008B4DA8" w14:paraId="18C302D4" w14:textId="77777777">
        <w:tblPrEx>
          <w:tblCellMar>
            <w:top w:w="0" w:type="dxa"/>
            <w:bottom w:w="0" w:type="dxa"/>
          </w:tblCellMar>
        </w:tblPrEx>
        <w:tc>
          <w:tcPr>
            <w:tcW w:w="4410" w:type="dxa"/>
          </w:tcPr>
          <w:p w14:paraId="7E375B28" w14:textId="77777777" w:rsidR="00B3381F" w:rsidRPr="008B4DA8" w:rsidRDefault="00B3381F" w:rsidP="00B3381F">
            <w:pPr>
              <w:pStyle w:val="Heading1"/>
            </w:pPr>
            <w:r w:rsidRPr="008B4DA8">
              <w:t>School and Department</w:t>
            </w:r>
          </w:p>
        </w:tc>
        <w:tc>
          <w:tcPr>
            <w:tcW w:w="3642" w:type="dxa"/>
          </w:tcPr>
          <w:p w14:paraId="2CB0FF33" w14:textId="77777777" w:rsidR="00B3381F" w:rsidRPr="008B4DA8" w:rsidRDefault="00B3381F" w:rsidP="00360FB0">
            <w:pPr>
              <w:jc w:val="both"/>
              <w:rPr>
                <w:rFonts w:cs="Arial"/>
                <w:sz w:val="20"/>
              </w:rPr>
            </w:pPr>
            <w:r w:rsidRPr="008B4DA8">
              <w:rPr>
                <w:rFonts w:cs="Arial"/>
                <w:sz w:val="20"/>
              </w:rPr>
              <w:t>School of Education and Professional Development</w:t>
            </w:r>
          </w:p>
          <w:p w14:paraId="1D3B1023" w14:textId="77777777" w:rsidR="00B3381F" w:rsidRPr="008B4DA8" w:rsidRDefault="00B3381F" w:rsidP="00360FB0">
            <w:pPr>
              <w:jc w:val="both"/>
              <w:rPr>
                <w:rFonts w:cs="Arial"/>
                <w:sz w:val="20"/>
              </w:rPr>
            </w:pPr>
          </w:p>
          <w:p w14:paraId="7DE6C290" w14:textId="77777777" w:rsidR="00B3381F" w:rsidRPr="008B4DA8" w:rsidRDefault="00B3381F" w:rsidP="00360FB0">
            <w:pPr>
              <w:jc w:val="both"/>
              <w:rPr>
                <w:rFonts w:cs="Arial"/>
                <w:sz w:val="20"/>
              </w:rPr>
            </w:pPr>
            <w:r w:rsidRPr="008B4DA8">
              <w:rPr>
                <w:rFonts w:cs="Arial"/>
                <w:bCs/>
                <w:sz w:val="20"/>
              </w:rPr>
              <w:t xml:space="preserve">Department of </w:t>
            </w:r>
            <w:r>
              <w:rPr>
                <w:rFonts w:cs="Arial"/>
                <w:bCs/>
                <w:sz w:val="20"/>
              </w:rPr>
              <w:t>Education and Community Studies</w:t>
            </w:r>
          </w:p>
        </w:tc>
      </w:tr>
      <w:tr w:rsidR="00B3381F" w:rsidRPr="008B4DA8" w14:paraId="034647D8" w14:textId="77777777">
        <w:tblPrEx>
          <w:tblCellMar>
            <w:top w:w="0" w:type="dxa"/>
            <w:bottom w:w="0" w:type="dxa"/>
          </w:tblCellMar>
        </w:tblPrEx>
        <w:tc>
          <w:tcPr>
            <w:tcW w:w="4410" w:type="dxa"/>
          </w:tcPr>
          <w:p w14:paraId="47E52E70" w14:textId="77777777" w:rsidR="00B3381F" w:rsidRPr="008B4DA8" w:rsidRDefault="00B3381F" w:rsidP="00B3381F">
            <w:pPr>
              <w:pStyle w:val="Heading1"/>
            </w:pPr>
            <w:r w:rsidRPr="008B4DA8">
              <w:t>Course accredited by</w:t>
            </w:r>
          </w:p>
        </w:tc>
        <w:tc>
          <w:tcPr>
            <w:tcW w:w="3642" w:type="dxa"/>
          </w:tcPr>
          <w:p w14:paraId="3E33572E" w14:textId="77777777" w:rsidR="00B3381F" w:rsidRPr="008B4DA8" w:rsidRDefault="00B3381F" w:rsidP="00360FB0">
            <w:pPr>
              <w:jc w:val="both"/>
              <w:rPr>
                <w:rFonts w:cs="Arial"/>
                <w:sz w:val="20"/>
              </w:rPr>
            </w:pPr>
            <w:r w:rsidRPr="008B4DA8">
              <w:rPr>
                <w:rFonts w:cs="Arial"/>
                <w:sz w:val="20"/>
              </w:rPr>
              <w:t>National Youth Agency</w:t>
            </w:r>
          </w:p>
          <w:p w14:paraId="52A4470B" w14:textId="77777777" w:rsidR="00B3381F" w:rsidRPr="008B4DA8" w:rsidRDefault="00B3381F" w:rsidP="00360FB0">
            <w:pPr>
              <w:jc w:val="both"/>
              <w:rPr>
                <w:rFonts w:cs="Arial"/>
                <w:sz w:val="20"/>
              </w:rPr>
            </w:pPr>
          </w:p>
        </w:tc>
      </w:tr>
      <w:tr w:rsidR="00B3381F" w:rsidRPr="008B4DA8" w14:paraId="3CF25F37" w14:textId="77777777">
        <w:tblPrEx>
          <w:tblCellMar>
            <w:top w:w="0" w:type="dxa"/>
            <w:bottom w:w="0" w:type="dxa"/>
          </w:tblCellMar>
        </w:tblPrEx>
        <w:tc>
          <w:tcPr>
            <w:tcW w:w="4410" w:type="dxa"/>
          </w:tcPr>
          <w:p w14:paraId="037970AD" w14:textId="77777777" w:rsidR="00B3381F" w:rsidRPr="008B4DA8" w:rsidRDefault="00B3381F" w:rsidP="00B3381F">
            <w:pPr>
              <w:pStyle w:val="Heading1"/>
            </w:pPr>
            <w:r w:rsidRPr="008B4DA8">
              <w:t>Mode of delivery</w:t>
            </w:r>
          </w:p>
        </w:tc>
        <w:tc>
          <w:tcPr>
            <w:tcW w:w="3642" w:type="dxa"/>
          </w:tcPr>
          <w:p w14:paraId="64E452F2" w14:textId="77777777" w:rsidR="00B3381F" w:rsidRPr="008B4DA8" w:rsidRDefault="00B3381F" w:rsidP="00360FB0">
            <w:pPr>
              <w:jc w:val="both"/>
              <w:rPr>
                <w:rFonts w:cs="Arial"/>
                <w:sz w:val="20"/>
              </w:rPr>
            </w:pPr>
            <w:r w:rsidRPr="008B4DA8">
              <w:rPr>
                <w:rFonts w:cs="Arial"/>
                <w:sz w:val="20"/>
              </w:rPr>
              <w:t>Full-time; Part-time for In-Service students</w:t>
            </w:r>
          </w:p>
          <w:p w14:paraId="264EED4D" w14:textId="77777777" w:rsidR="00B3381F" w:rsidRPr="008B4DA8" w:rsidRDefault="00B3381F" w:rsidP="00360FB0">
            <w:pPr>
              <w:jc w:val="both"/>
              <w:rPr>
                <w:rFonts w:cs="Arial"/>
                <w:sz w:val="20"/>
              </w:rPr>
            </w:pPr>
          </w:p>
        </w:tc>
      </w:tr>
      <w:tr w:rsidR="00B3381F" w:rsidRPr="008B4DA8" w14:paraId="53F5C703" w14:textId="77777777">
        <w:tblPrEx>
          <w:tblCellMar>
            <w:top w:w="0" w:type="dxa"/>
            <w:bottom w:w="0" w:type="dxa"/>
          </w:tblCellMar>
        </w:tblPrEx>
        <w:tc>
          <w:tcPr>
            <w:tcW w:w="4410" w:type="dxa"/>
          </w:tcPr>
          <w:p w14:paraId="011C6B93" w14:textId="77777777" w:rsidR="00B3381F" w:rsidRPr="008B4DA8" w:rsidRDefault="00B3381F" w:rsidP="00B3381F">
            <w:pPr>
              <w:pStyle w:val="Heading1"/>
            </w:pPr>
            <w:r w:rsidRPr="008B4DA8">
              <w:t>Final award</w:t>
            </w:r>
          </w:p>
        </w:tc>
        <w:tc>
          <w:tcPr>
            <w:tcW w:w="3642" w:type="dxa"/>
          </w:tcPr>
          <w:p w14:paraId="3A5795C2" w14:textId="77777777" w:rsidR="00B3381F" w:rsidRPr="008B4DA8" w:rsidRDefault="00B3381F" w:rsidP="00360FB0">
            <w:pPr>
              <w:jc w:val="both"/>
              <w:rPr>
                <w:sz w:val="20"/>
              </w:rPr>
            </w:pPr>
            <w:r w:rsidRPr="008B4DA8">
              <w:rPr>
                <w:sz w:val="20"/>
              </w:rPr>
              <w:t xml:space="preserve">BA (Hons) </w:t>
            </w:r>
          </w:p>
          <w:p w14:paraId="4D190586" w14:textId="77777777" w:rsidR="00B3381F" w:rsidRPr="008B4DA8" w:rsidRDefault="00B3381F" w:rsidP="00360FB0">
            <w:pPr>
              <w:jc w:val="both"/>
              <w:rPr>
                <w:sz w:val="20"/>
              </w:rPr>
            </w:pPr>
          </w:p>
        </w:tc>
      </w:tr>
      <w:tr w:rsidR="00B3381F" w:rsidRPr="008B4DA8" w14:paraId="49DC11C7" w14:textId="77777777">
        <w:tblPrEx>
          <w:tblCellMar>
            <w:top w:w="0" w:type="dxa"/>
            <w:bottom w:w="0" w:type="dxa"/>
          </w:tblCellMar>
        </w:tblPrEx>
        <w:tc>
          <w:tcPr>
            <w:tcW w:w="4410" w:type="dxa"/>
          </w:tcPr>
          <w:p w14:paraId="58083579" w14:textId="77777777" w:rsidR="00B3381F" w:rsidRPr="008B4DA8" w:rsidRDefault="00B3381F" w:rsidP="00B3381F">
            <w:pPr>
              <w:pStyle w:val="Heading1"/>
            </w:pPr>
            <w:r w:rsidRPr="008B4DA8">
              <w:t>Course title</w:t>
            </w:r>
          </w:p>
        </w:tc>
        <w:tc>
          <w:tcPr>
            <w:tcW w:w="3642" w:type="dxa"/>
          </w:tcPr>
          <w:p w14:paraId="4DF84E2E" w14:textId="77777777" w:rsidR="00B3381F" w:rsidRPr="008B4DA8" w:rsidRDefault="00B3381F" w:rsidP="00360FB0">
            <w:pPr>
              <w:jc w:val="both"/>
              <w:rPr>
                <w:sz w:val="20"/>
              </w:rPr>
            </w:pPr>
            <w:r w:rsidRPr="008B4DA8">
              <w:rPr>
                <w:sz w:val="20"/>
              </w:rPr>
              <w:t xml:space="preserve">Youth and Community Work </w:t>
            </w:r>
          </w:p>
        </w:tc>
      </w:tr>
      <w:tr w:rsidR="00B3381F" w:rsidRPr="008B4DA8" w14:paraId="1426B03C" w14:textId="77777777">
        <w:tblPrEx>
          <w:tblCellMar>
            <w:top w:w="0" w:type="dxa"/>
            <w:bottom w:w="0" w:type="dxa"/>
          </w:tblCellMar>
        </w:tblPrEx>
        <w:trPr>
          <w:trHeight w:val="498"/>
        </w:trPr>
        <w:tc>
          <w:tcPr>
            <w:tcW w:w="4410" w:type="dxa"/>
          </w:tcPr>
          <w:p w14:paraId="74D27AA0" w14:textId="77777777" w:rsidR="00B3381F" w:rsidRPr="008B4DA8" w:rsidRDefault="00B3381F" w:rsidP="00B3381F">
            <w:pPr>
              <w:pStyle w:val="Heading1"/>
            </w:pPr>
            <w:r w:rsidRPr="008B4DA8">
              <w:t>UCAS code</w:t>
            </w:r>
          </w:p>
        </w:tc>
        <w:tc>
          <w:tcPr>
            <w:tcW w:w="3642" w:type="dxa"/>
          </w:tcPr>
          <w:p w14:paraId="49B732DA" w14:textId="77777777" w:rsidR="00B3381F" w:rsidRPr="008B4DA8" w:rsidRDefault="00B3381F" w:rsidP="00360FB0">
            <w:pPr>
              <w:jc w:val="both"/>
              <w:rPr>
                <w:rFonts w:cs="Arial"/>
                <w:sz w:val="20"/>
              </w:rPr>
            </w:pPr>
            <w:r w:rsidRPr="008B4DA8">
              <w:rPr>
                <w:rFonts w:cs="ArialMT"/>
                <w:sz w:val="20"/>
                <w:lang w:val="en-US" w:bidi="en-US"/>
              </w:rPr>
              <w:t>L530</w:t>
            </w:r>
          </w:p>
        </w:tc>
      </w:tr>
      <w:tr w:rsidR="00B3381F" w:rsidRPr="008B4DA8" w14:paraId="5ECA7298" w14:textId="77777777">
        <w:tblPrEx>
          <w:tblCellMar>
            <w:top w:w="0" w:type="dxa"/>
            <w:bottom w:w="0" w:type="dxa"/>
          </w:tblCellMar>
        </w:tblPrEx>
        <w:tc>
          <w:tcPr>
            <w:tcW w:w="4410" w:type="dxa"/>
          </w:tcPr>
          <w:p w14:paraId="58DDB205" w14:textId="77777777" w:rsidR="00B3381F" w:rsidRPr="008B4DA8" w:rsidRDefault="00B3381F" w:rsidP="00B3381F">
            <w:pPr>
              <w:pStyle w:val="Heading1"/>
            </w:pPr>
            <w:r w:rsidRPr="008B4DA8">
              <w:t>Subject benchmark statement</w:t>
            </w:r>
          </w:p>
          <w:p w14:paraId="4C0349F3" w14:textId="77777777" w:rsidR="00B3381F" w:rsidRPr="008B4DA8" w:rsidRDefault="00B3381F" w:rsidP="00B3381F">
            <w:pPr>
              <w:pStyle w:val="Heading1"/>
              <w:numPr>
                <w:ilvl w:val="0"/>
                <w:numId w:val="0"/>
              </w:numPr>
              <w:ind w:left="9073"/>
            </w:pPr>
          </w:p>
        </w:tc>
        <w:tc>
          <w:tcPr>
            <w:tcW w:w="3642" w:type="dxa"/>
          </w:tcPr>
          <w:p w14:paraId="3538CAD7" w14:textId="77777777" w:rsidR="00B3381F" w:rsidRPr="008B4DA8" w:rsidRDefault="00B3381F" w:rsidP="00360FB0">
            <w:pPr>
              <w:jc w:val="both"/>
              <w:rPr>
                <w:rFonts w:cs="Arial"/>
                <w:sz w:val="20"/>
              </w:rPr>
            </w:pPr>
            <w:r w:rsidRPr="008B4DA8">
              <w:rPr>
                <w:rFonts w:cs="Arial"/>
                <w:sz w:val="20"/>
              </w:rPr>
              <w:t>Youth and Community Work (20</w:t>
            </w:r>
            <w:r>
              <w:rPr>
                <w:rFonts w:cs="Arial"/>
                <w:sz w:val="20"/>
              </w:rPr>
              <w:t>1</w:t>
            </w:r>
            <w:r w:rsidRPr="008B4DA8">
              <w:rPr>
                <w:rFonts w:cs="Arial"/>
                <w:sz w:val="20"/>
              </w:rPr>
              <w:t>9)</w:t>
            </w:r>
          </w:p>
        </w:tc>
      </w:tr>
      <w:tr w:rsidR="00B3381F" w:rsidRPr="008B4DA8" w14:paraId="753A4FBA" w14:textId="77777777">
        <w:tblPrEx>
          <w:tblCellMar>
            <w:top w:w="0" w:type="dxa"/>
            <w:bottom w:w="0" w:type="dxa"/>
          </w:tblCellMar>
        </w:tblPrEx>
        <w:tc>
          <w:tcPr>
            <w:tcW w:w="4410" w:type="dxa"/>
          </w:tcPr>
          <w:p w14:paraId="34FDCDDA" w14:textId="77777777" w:rsidR="00B3381F" w:rsidRPr="008B4DA8" w:rsidRDefault="00B3381F" w:rsidP="00B3381F">
            <w:pPr>
              <w:pStyle w:val="Heading1"/>
            </w:pPr>
            <w:r w:rsidRPr="008B4DA8">
              <w:t>Date of Course Specification Approval</w:t>
            </w:r>
          </w:p>
          <w:p w14:paraId="07CEEBAE" w14:textId="77777777" w:rsidR="00B3381F" w:rsidRPr="008B4DA8" w:rsidRDefault="00B3381F" w:rsidP="00B3381F">
            <w:pPr>
              <w:pStyle w:val="Heading1"/>
              <w:numPr>
                <w:ilvl w:val="0"/>
                <w:numId w:val="0"/>
              </w:numPr>
              <w:ind w:left="9073"/>
            </w:pPr>
          </w:p>
        </w:tc>
        <w:tc>
          <w:tcPr>
            <w:tcW w:w="3642" w:type="dxa"/>
          </w:tcPr>
          <w:p w14:paraId="283430A1" w14:textId="77777777" w:rsidR="00B3381F" w:rsidRPr="008B4DA8" w:rsidRDefault="00B3381F" w:rsidP="00360FB0">
            <w:pPr>
              <w:jc w:val="both"/>
              <w:rPr>
                <w:rFonts w:cs="Arial"/>
                <w:sz w:val="20"/>
              </w:rPr>
            </w:pPr>
            <w:r>
              <w:rPr>
                <w:rFonts w:cs="Arial"/>
                <w:sz w:val="20"/>
              </w:rPr>
              <w:t>November 2015</w:t>
            </w:r>
          </w:p>
        </w:tc>
      </w:tr>
    </w:tbl>
    <w:p w14:paraId="59117819" w14:textId="783A06FB" w:rsidR="00C25C7D" w:rsidRDefault="00C25C7D" w:rsidP="00360FB0">
      <w:pPr>
        <w:jc w:val="both"/>
        <w:rPr>
          <w:rFonts w:cs="Arial"/>
          <w:sz w:val="20"/>
        </w:rPr>
      </w:pPr>
    </w:p>
    <w:p w14:paraId="17AABD81" w14:textId="77777777" w:rsidR="00B3381F" w:rsidRPr="00B3381F" w:rsidRDefault="00B3381F" w:rsidP="00B3381F">
      <w:pPr>
        <w:pStyle w:val="Heading1"/>
      </w:pPr>
      <w:r w:rsidRPr="00B3381F">
        <w:t>EDUCATIONAL AIMS OF COURSE</w:t>
      </w:r>
    </w:p>
    <w:p w14:paraId="0C34B4CA" w14:textId="77777777" w:rsidR="00B3381F" w:rsidRPr="008B4DA8" w:rsidRDefault="00B3381F" w:rsidP="00B3381F">
      <w:pPr>
        <w:jc w:val="both"/>
        <w:rPr>
          <w:sz w:val="20"/>
        </w:rPr>
      </w:pPr>
    </w:p>
    <w:p w14:paraId="5D086254" w14:textId="77777777" w:rsidR="00B3381F" w:rsidRPr="008B4DA8" w:rsidRDefault="00B3381F" w:rsidP="00B3381F">
      <w:pPr>
        <w:jc w:val="both"/>
        <w:rPr>
          <w:sz w:val="20"/>
        </w:rPr>
      </w:pPr>
      <w:r w:rsidRPr="008B4DA8">
        <w:rPr>
          <w:sz w:val="20"/>
        </w:rPr>
        <w:t xml:space="preserve">The BA (Hons) Youth and Community Work is designed to prepare students for work in the field of youth and community work and includes the professional qualification which is  endorsed by the National Youth Agency and recognised by the Joint Negotiating Committee as conferring nationally qualified status as a youth worker. As such, it brings together academic and vocational aspects with the aim of nurturing reflective practitioners who are ready to enter the professional field on graduation. </w:t>
      </w:r>
    </w:p>
    <w:p w14:paraId="25B10C28" w14:textId="77777777" w:rsidR="00B3381F" w:rsidRPr="008B4DA8" w:rsidRDefault="00B3381F" w:rsidP="00B3381F">
      <w:pPr>
        <w:jc w:val="both"/>
        <w:rPr>
          <w:sz w:val="20"/>
        </w:rPr>
      </w:pPr>
    </w:p>
    <w:p w14:paraId="142C13A1" w14:textId="77777777" w:rsidR="00B3381F" w:rsidRPr="008B4DA8" w:rsidRDefault="00B3381F" w:rsidP="00B3381F">
      <w:pPr>
        <w:jc w:val="both"/>
        <w:rPr>
          <w:sz w:val="20"/>
        </w:rPr>
      </w:pPr>
      <w:r w:rsidRPr="008B4DA8">
        <w:rPr>
          <w:sz w:val="20"/>
        </w:rPr>
        <w:t>Youth and community workers are employed within local authorities’ integrated services</w:t>
      </w:r>
      <w:r>
        <w:rPr>
          <w:sz w:val="20"/>
        </w:rPr>
        <w:t xml:space="preserve"> and other departments</w:t>
      </w:r>
      <w:r w:rsidRPr="008B4DA8">
        <w:rPr>
          <w:sz w:val="20"/>
        </w:rPr>
        <w:t>. They are also employed by a wide range of third sector, voluntary and charitable organisations, schools and pupil exclusion units</w:t>
      </w:r>
      <w:r>
        <w:rPr>
          <w:sz w:val="20"/>
        </w:rPr>
        <w:t>, housing and drugs charities</w:t>
      </w:r>
      <w:r w:rsidRPr="008B4DA8">
        <w:rPr>
          <w:sz w:val="20"/>
        </w:rPr>
        <w:t xml:space="preserve"> and health education agencies. The course was developed in collaboration with employers and continues to have strong links with the field, locally</w:t>
      </w:r>
      <w:r>
        <w:rPr>
          <w:sz w:val="20"/>
        </w:rPr>
        <w:t>,</w:t>
      </w:r>
      <w:r w:rsidRPr="008B4DA8">
        <w:rPr>
          <w:sz w:val="20"/>
        </w:rPr>
        <w:t xml:space="preserve"> regionally</w:t>
      </w:r>
      <w:r>
        <w:rPr>
          <w:sz w:val="20"/>
        </w:rPr>
        <w:t xml:space="preserve"> and nationally</w:t>
      </w:r>
      <w:r w:rsidRPr="008B4DA8">
        <w:rPr>
          <w:sz w:val="20"/>
        </w:rPr>
        <w:t xml:space="preserve">. </w:t>
      </w:r>
    </w:p>
    <w:p w14:paraId="652AB0EF" w14:textId="77777777" w:rsidR="00B3381F" w:rsidRPr="008B4DA8" w:rsidRDefault="00B3381F" w:rsidP="00360FB0">
      <w:pPr>
        <w:jc w:val="both"/>
        <w:rPr>
          <w:rFonts w:cs="Arial"/>
          <w:sz w:val="20"/>
        </w:rPr>
      </w:pPr>
    </w:p>
    <w:p w14:paraId="671C9A26" w14:textId="77777777" w:rsidR="00B3381F" w:rsidRPr="008B4DA8" w:rsidRDefault="00B3381F" w:rsidP="00B3381F">
      <w:pPr>
        <w:jc w:val="both"/>
        <w:rPr>
          <w:sz w:val="20"/>
        </w:rPr>
      </w:pPr>
      <w:r w:rsidRPr="008B4DA8">
        <w:rPr>
          <w:sz w:val="20"/>
        </w:rPr>
        <w:t>The main aims of the programme are to:</w:t>
      </w:r>
    </w:p>
    <w:p w14:paraId="4F528463" w14:textId="77777777" w:rsidR="00B3381F" w:rsidRPr="008B4DA8" w:rsidRDefault="00B3381F" w:rsidP="00B3381F">
      <w:pPr>
        <w:jc w:val="both"/>
        <w:rPr>
          <w:sz w:val="20"/>
        </w:rPr>
      </w:pPr>
    </w:p>
    <w:p w14:paraId="2BADA8FA" w14:textId="77777777" w:rsidR="00B3381F" w:rsidRPr="008B4DA8" w:rsidRDefault="00B3381F" w:rsidP="00B3381F">
      <w:pPr>
        <w:ind w:left="567" w:hanging="567"/>
        <w:jc w:val="both"/>
        <w:rPr>
          <w:sz w:val="20"/>
        </w:rPr>
      </w:pPr>
      <w:r w:rsidRPr="008B4DA8">
        <w:rPr>
          <w:sz w:val="20"/>
        </w:rPr>
        <w:t>11.1  Offer a programme of study which requires students to undertake a comprehensive analysis of youth and community work as a form of informal education and to address the diverse ways in which the term may be understood and applied.</w:t>
      </w:r>
    </w:p>
    <w:p w14:paraId="40383E96" w14:textId="77777777" w:rsidR="00B3381F" w:rsidRPr="008B4DA8" w:rsidRDefault="00B3381F" w:rsidP="00B3381F">
      <w:pPr>
        <w:ind w:left="567" w:hanging="567"/>
        <w:jc w:val="both"/>
        <w:rPr>
          <w:sz w:val="20"/>
        </w:rPr>
      </w:pPr>
    </w:p>
    <w:p w14:paraId="48C5CA12" w14:textId="77777777" w:rsidR="00B3381F" w:rsidRPr="008B4DA8" w:rsidRDefault="00B3381F" w:rsidP="00B3381F">
      <w:pPr>
        <w:ind w:left="567" w:hanging="567"/>
        <w:jc w:val="both"/>
        <w:rPr>
          <w:sz w:val="20"/>
        </w:rPr>
      </w:pPr>
      <w:r w:rsidRPr="008B4DA8">
        <w:rPr>
          <w:sz w:val="20"/>
        </w:rPr>
        <w:t>11.2   Develop generic and transferable skills which will qualify students for careers within the field of informal education</w:t>
      </w:r>
      <w:r>
        <w:rPr>
          <w:sz w:val="20"/>
        </w:rPr>
        <w:t xml:space="preserve">, </w:t>
      </w:r>
      <w:r w:rsidRPr="008B4DA8">
        <w:rPr>
          <w:sz w:val="20"/>
        </w:rPr>
        <w:t>in youth and community work</w:t>
      </w:r>
      <w:r>
        <w:rPr>
          <w:sz w:val="20"/>
        </w:rPr>
        <w:t xml:space="preserve"> and a range of other related capacities</w:t>
      </w:r>
      <w:r w:rsidRPr="008B4DA8">
        <w:rPr>
          <w:sz w:val="20"/>
        </w:rPr>
        <w:t xml:space="preserve">. </w:t>
      </w:r>
    </w:p>
    <w:p w14:paraId="66E5FC9D" w14:textId="77777777" w:rsidR="00B3381F" w:rsidRPr="008B4DA8" w:rsidRDefault="00B3381F" w:rsidP="00B3381F">
      <w:pPr>
        <w:ind w:left="567" w:hanging="567"/>
        <w:jc w:val="both"/>
        <w:rPr>
          <w:sz w:val="20"/>
        </w:rPr>
      </w:pPr>
    </w:p>
    <w:p w14:paraId="2018F857" w14:textId="77777777" w:rsidR="00B3381F" w:rsidRPr="008B4DA8" w:rsidRDefault="00B3381F" w:rsidP="00B3381F">
      <w:pPr>
        <w:ind w:left="567" w:hanging="567"/>
        <w:jc w:val="both"/>
        <w:rPr>
          <w:sz w:val="20"/>
        </w:rPr>
      </w:pPr>
      <w:r w:rsidRPr="008B4DA8">
        <w:rPr>
          <w:sz w:val="20"/>
        </w:rPr>
        <w:t>11.3  Offer specifically the NYA-endorsed vocational qualification in youth and community work embedded within the degree programme and awarded on successful completion of the honours degree.</w:t>
      </w:r>
    </w:p>
    <w:p w14:paraId="78FBEB42" w14:textId="77777777" w:rsidR="00B3381F" w:rsidRPr="008B4DA8" w:rsidRDefault="00B3381F" w:rsidP="00B3381F">
      <w:pPr>
        <w:ind w:left="567" w:hanging="567"/>
        <w:jc w:val="both"/>
        <w:rPr>
          <w:sz w:val="20"/>
        </w:rPr>
      </w:pPr>
    </w:p>
    <w:p w14:paraId="737D3204" w14:textId="77777777" w:rsidR="00B3381F" w:rsidRPr="008B4DA8" w:rsidRDefault="00B3381F" w:rsidP="00B3381F">
      <w:pPr>
        <w:ind w:left="567" w:hanging="567"/>
        <w:jc w:val="both"/>
        <w:rPr>
          <w:sz w:val="20"/>
        </w:rPr>
      </w:pPr>
      <w:r w:rsidRPr="008B4DA8">
        <w:rPr>
          <w:sz w:val="20"/>
        </w:rPr>
        <w:t>11.4   Develop proactive, enterprising, reflective practitioners who have the skills, knowledge and values to:</w:t>
      </w:r>
    </w:p>
    <w:p w14:paraId="24F4CB26" w14:textId="77777777" w:rsidR="00B3381F" w:rsidRPr="008B4DA8" w:rsidRDefault="00B3381F" w:rsidP="00B3381F">
      <w:pPr>
        <w:ind w:left="567"/>
        <w:jc w:val="both"/>
        <w:rPr>
          <w:sz w:val="20"/>
        </w:rPr>
      </w:pPr>
      <w:r w:rsidRPr="008B4DA8">
        <w:rPr>
          <w:sz w:val="20"/>
        </w:rPr>
        <w:t>-  Build relationships with young people which enable them to explore and make sense of their experiences, and plan and take action;</w:t>
      </w:r>
    </w:p>
    <w:p w14:paraId="5E2248D8" w14:textId="77777777" w:rsidR="00B3381F" w:rsidRPr="008B4DA8" w:rsidRDefault="00B3381F" w:rsidP="00B3381F">
      <w:pPr>
        <w:ind w:left="567"/>
        <w:jc w:val="both"/>
        <w:rPr>
          <w:sz w:val="20"/>
        </w:rPr>
      </w:pPr>
      <w:r w:rsidRPr="008B4DA8">
        <w:rPr>
          <w:sz w:val="20"/>
        </w:rPr>
        <w:lastRenderedPageBreak/>
        <w:t>-  Facilitate young people’s learning, and their personal and social development;</w:t>
      </w:r>
    </w:p>
    <w:p w14:paraId="645170B7" w14:textId="77777777" w:rsidR="00B3381F" w:rsidRPr="008B4DA8" w:rsidRDefault="00B3381F" w:rsidP="00B3381F">
      <w:pPr>
        <w:ind w:left="567"/>
        <w:jc w:val="both"/>
        <w:rPr>
          <w:sz w:val="20"/>
        </w:rPr>
      </w:pPr>
      <w:r w:rsidRPr="008B4DA8">
        <w:rPr>
          <w:sz w:val="20"/>
        </w:rPr>
        <w:t>-  Enable young people to organise and take increasing responsibility for activities, events and projects;</w:t>
      </w:r>
    </w:p>
    <w:p w14:paraId="235E0C0D" w14:textId="77777777" w:rsidR="00B3381F" w:rsidRPr="008B4DA8" w:rsidRDefault="00B3381F" w:rsidP="00B3381F">
      <w:pPr>
        <w:ind w:left="567"/>
        <w:jc w:val="both"/>
        <w:rPr>
          <w:sz w:val="20"/>
        </w:rPr>
      </w:pPr>
      <w:r w:rsidRPr="008B4DA8">
        <w:rPr>
          <w:sz w:val="20"/>
        </w:rPr>
        <w:t>-  Work with young people in accordance with the core values of youth work (as identified by the National Youth Agency);</w:t>
      </w:r>
    </w:p>
    <w:p w14:paraId="6A0113F4" w14:textId="77777777" w:rsidR="00B3381F" w:rsidRPr="008B4DA8" w:rsidRDefault="00B3381F" w:rsidP="00B3381F">
      <w:pPr>
        <w:ind w:left="567"/>
        <w:jc w:val="both"/>
        <w:rPr>
          <w:sz w:val="20"/>
        </w:rPr>
      </w:pPr>
      <w:r w:rsidRPr="008B4DA8">
        <w:rPr>
          <w:sz w:val="20"/>
        </w:rPr>
        <w:t>-  Plan, manage and develop youth work;</w:t>
      </w:r>
    </w:p>
    <w:p w14:paraId="4667718D" w14:textId="77777777" w:rsidR="00B3381F" w:rsidRPr="008B4DA8" w:rsidRDefault="00B3381F" w:rsidP="00B3381F">
      <w:pPr>
        <w:ind w:left="567"/>
        <w:jc w:val="both"/>
        <w:rPr>
          <w:sz w:val="20"/>
        </w:rPr>
      </w:pPr>
      <w:r w:rsidRPr="008B4DA8">
        <w:rPr>
          <w:sz w:val="20"/>
        </w:rPr>
        <w:t>-  Support and develop effective, efficient and ethical practice in youth work.</w:t>
      </w:r>
    </w:p>
    <w:p w14:paraId="097BF602" w14:textId="77777777" w:rsidR="00B3381F" w:rsidRPr="008B4DA8" w:rsidRDefault="00B3381F" w:rsidP="00B3381F">
      <w:pPr>
        <w:ind w:left="567"/>
        <w:jc w:val="both"/>
        <w:rPr>
          <w:sz w:val="20"/>
        </w:rPr>
      </w:pPr>
    </w:p>
    <w:p w14:paraId="73995EA6" w14:textId="77777777" w:rsidR="00B3381F" w:rsidRPr="008B4DA8" w:rsidRDefault="00B3381F" w:rsidP="00B3381F">
      <w:pPr>
        <w:ind w:left="567" w:hanging="567"/>
        <w:jc w:val="both"/>
        <w:rPr>
          <w:sz w:val="20"/>
        </w:rPr>
      </w:pPr>
      <w:r w:rsidRPr="008B4DA8">
        <w:rPr>
          <w:sz w:val="20"/>
        </w:rPr>
        <w:t>11.5   Address the education and training needs of individuals intending to seek employment as i</w:t>
      </w:r>
      <w:r>
        <w:rPr>
          <w:sz w:val="20"/>
        </w:rPr>
        <w:t>nformal social educators within local authority services</w:t>
      </w:r>
      <w:r w:rsidRPr="008B4DA8">
        <w:rPr>
          <w:sz w:val="20"/>
        </w:rPr>
        <w:t xml:space="preserve"> and within the statutory and voluntary sector in related professional areas.</w:t>
      </w:r>
    </w:p>
    <w:p w14:paraId="5DD101C9" w14:textId="77777777" w:rsidR="00B3381F" w:rsidRPr="008B4DA8" w:rsidRDefault="00B3381F" w:rsidP="00B3381F">
      <w:pPr>
        <w:ind w:left="567" w:hanging="567"/>
        <w:jc w:val="both"/>
        <w:rPr>
          <w:sz w:val="20"/>
        </w:rPr>
      </w:pPr>
    </w:p>
    <w:p w14:paraId="363E630C" w14:textId="77777777" w:rsidR="00B3381F" w:rsidRPr="008B4DA8" w:rsidRDefault="00B3381F" w:rsidP="00B3381F">
      <w:pPr>
        <w:ind w:left="567" w:hanging="567"/>
        <w:jc w:val="both"/>
        <w:rPr>
          <w:sz w:val="20"/>
        </w:rPr>
      </w:pPr>
      <w:r w:rsidRPr="008B4DA8">
        <w:rPr>
          <w:sz w:val="20"/>
        </w:rPr>
        <w:t>11.6  Encourage the integration of theory and practice through the development of high quality work placements which will be the site for work-based learning modules with outcomes which require the application of cognitive and transferable skills to professional situations.</w:t>
      </w:r>
    </w:p>
    <w:p w14:paraId="126A93D6" w14:textId="77777777" w:rsidR="00B3381F" w:rsidRPr="008B4DA8" w:rsidRDefault="00B3381F" w:rsidP="00B3381F">
      <w:pPr>
        <w:ind w:left="567" w:hanging="567"/>
        <w:jc w:val="both"/>
        <w:rPr>
          <w:sz w:val="20"/>
        </w:rPr>
      </w:pPr>
    </w:p>
    <w:p w14:paraId="1DB62F5E" w14:textId="77777777" w:rsidR="00B3381F" w:rsidRPr="008B4DA8" w:rsidRDefault="00B3381F" w:rsidP="00B3381F">
      <w:pPr>
        <w:ind w:left="567" w:hanging="567"/>
        <w:jc w:val="both"/>
        <w:rPr>
          <w:sz w:val="20"/>
        </w:rPr>
      </w:pPr>
      <w:r>
        <w:rPr>
          <w:sz w:val="20"/>
        </w:rPr>
        <w:t xml:space="preserve">11.7  </w:t>
      </w:r>
      <w:r w:rsidRPr="008B4DA8">
        <w:rPr>
          <w:sz w:val="20"/>
        </w:rPr>
        <w:t xml:space="preserve">Offer a course which builds on the historic strengths of the School of Education &amp; Professional Development as a provider of education </w:t>
      </w:r>
      <w:r>
        <w:rPr>
          <w:sz w:val="20"/>
        </w:rPr>
        <w:t>and training for youth and community worker for over two decades</w:t>
      </w:r>
      <w:r w:rsidRPr="008B4DA8">
        <w:rPr>
          <w:sz w:val="20"/>
        </w:rPr>
        <w:t>.</w:t>
      </w:r>
    </w:p>
    <w:p w14:paraId="7143EC95" w14:textId="77777777" w:rsidR="00B3381F" w:rsidRPr="008B4DA8" w:rsidRDefault="00B3381F" w:rsidP="00B3381F">
      <w:pPr>
        <w:ind w:left="567" w:hanging="567"/>
        <w:jc w:val="both"/>
        <w:rPr>
          <w:sz w:val="20"/>
        </w:rPr>
      </w:pPr>
    </w:p>
    <w:p w14:paraId="55D7FC40" w14:textId="77777777" w:rsidR="00B3381F" w:rsidRPr="008B4DA8" w:rsidRDefault="00B3381F" w:rsidP="00B3381F">
      <w:pPr>
        <w:ind w:left="567" w:hanging="567"/>
        <w:jc w:val="both"/>
        <w:rPr>
          <w:sz w:val="20"/>
        </w:rPr>
      </w:pPr>
      <w:r w:rsidRPr="008B4DA8">
        <w:rPr>
          <w:sz w:val="20"/>
        </w:rPr>
        <w:t>11.8  Offer a flexible course, which can be used by individuals at different stages in their personal and professional development, by ensuring access at different levels and through different modes of study.</w:t>
      </w:r>
    </w:p>
    <w:p w14:paraId="59F50149" w14:textId="77777777" w:rsidR="00B3381F" w:rsidRPr="008B4DA8" w:rsidRDefault="00B3381F" w:rsidP="00B3381F">
      <w:pPr>
        <w:ind w:left="567" w:hanging="567"/>
        <w:jc w:val="both"/>
        <w:rPr>
          <w:sz w:val="20"/>
        </w:rPr>
      </w:pPr>
    </w:p>
    <w:p w14:paraId="273F25C9" w14:textId="77777777" w:rsidR="00B3381F" w:rsidRPr="008B4DA8" w:rsidRDefault="00B3381F" w:rsidP="00B3381F">
      <w:pPr>
        <w:ind w:left="567" w:hanging="567"/>
        <w:jc w:val="both"/>
        <w:rPr>
          <w:b/>
          <w:sz w:val="20"/>
        </w:rPr>
      </w:pPr>
      <w:r w:rsidRPr="008B4DA8">
        <w:rPr>
          <w:sz w:val="20"/>
        </w:rPr>
        <w:t>11.9   Enhance existing links and establish new partnerships between the University and local and regional providers and developers of informal education through the management of the Course, the placement of students and the development of joint research and development activity.</w:t>
      </w:r>
    </w:p>
    <w:p w14:paraId="57E1E390" w14:textId="77777777" w:rsidR="001D2D12" w:rsidRDefault="001D2D12" w:rsidP="00B3381F">
      <w:pPr>
        <w:jc w:val="both"/>
        <w:rPr>
          <w:sz w:val="20"/>
          <w:lang w:eastAsia="en-US"/>
        </w:rPr>
      </w:pPr>
    </w:p>
    <w:p w14:paraId="0FE3EAD9" w14:textId="77777777" w:rsidR="001D2D12" w:rsidRDefault="001D2D12" w:rsidP="001D2D12">
      <w:pPr>
        <w:ind w:left="426"/>
        <w:jc w:val="both"/>
        <w:rPr>
          <w:sz w:val="20"/>
          <w:lang w:eastAsia="en-US"/>
        </w:rPr>
      </w:pPr>
    </w:p>
    <w:p w14:paraId="41318751" w14:textId="1DE3E5FD" w:rsidR="00B3381F" w:rsidRDefault="001D2D12" w:rsidP="00B3381F">
      <w:pPr>
        <w:ind w:left="426"/>
        <w:jc w:val="both"/>
        <w:rPr>
          <w:sz w:val="20"/>
          <w:lang w:eastAsia="en-US"/>
        </w:rPr>
      </w:pPr>
      <w:r w:rsidRPr="001D2D12">
        <w:rPr>
          <w:sz w:val="20"/>
          <w:lang w:eastAsia="en-US"/>
        </w:rPr>
        <w:t>The course values equality and diversity and fully complies with the statutory requirements of the Equality Act (2010).</w:t>
      </w:r>
    </w:p>
    <w:p w14:paraId="4AFADBDF" w14:textId="14D1E65C" w:rsidR="00B3381F" w:rsidRDefault="00B3381F" w:rsidP="00B3381F">
      <w:pPr>
        <w:ind w:left="426"/>
        <w:jc w:val="both"/>
        <w:rPr>
          <w:sz w:val="20"/>
          <w:lang w:eastAsia="en-US"/>
        </w:rPr>
      </w:pPr>
    </w:p>
    <w:p w14:paraId="537F23EC" w14:textId="77777777" w:rsidR="00B3381F" w:rsidRDefault="00B3381F" w:rsidP="00B3381F">
      <w:pPr>
        <w:ind w:left="426"/>
        <w:jc w:val="both"/>
        <w:rPr>
          <w:sz w:val="20"/>
          <w:lang w:eastAsia="en-US"/>
        </w:rPr>
      </w:pPr>
    </w:p>
    <w:p w14:paraId="5E73FCC5" w14:textId="69061887" w:rsidR="00C25C7D" w:rsidRDefault="00B3381F" w:rsidP="00B3381F">
      <w:pPr>
        <w:pStyle w:val="Heading1"/>
      </w:pPr>
      <w:r>
        <w:t>COURSE</w:t>
      </w:r>
      <w:r w:rsidR="00C25C7D" w:rsidRPr="00B3381F">
        <w:t xml:space="preserve"> LEARNING OUTCOMES</w:t>
      </w:r>
    </w:p>
    <w:p w14:paraId="04C5FDC6" w14:textId="3AA53539" w:rsidR="00B3381F" w:rsidRDefault="00B3381F" w:rsidP="00B3381F"/>
    <w:p w14:paraId="2805D62F" w14:textId="77777777" w:rsidR="00B3381F" w:rsidRDefault="00B3381F" w:rsidP="00B3381F">
      <w:pPr>
        <w:jc w:val="both"/>
        <w:rPr>
          <w:sz w:val="20"/>
        </w:rPr>
      </w:pPr>
      <w:r w:rsidRPr="008B4DA8">
        <w:rPr>
          <w:sz w:val="20"/>
        </w:rPr>
        <w:t>The programme outcomes for the degree have been developed in the light of the National Occupational Standards for Youth Work and the Quality Assurance Agency for Higher Education subject benchmark statements for</w:t>
      </w:r>
      <w:r>
        <w:rPr>
          <w:sz w:val="20"/>
        </w:rPr>
        <w:t xml:space="preserve"> Youth and Community Work </w:t>
      </w:r>
      <w:r w:rsidRPr="008B4DA8">
        <w:rPr>
          <w:sz w:val="20"/>
        </w:rPr>
        <w:t xml:space="preserve">. </w:t>
      </w:r>
    </w:p>
    <w:p w14:paraId="02F6997A" w14:textId="77777777" w:rsidR="00B3381F" w:rsidRDefault="00B3381F" w:rsidP="00B3381F">
      <w:pPr>
        <w:jc w:val="both"/>
        <w:rPr>
          <w:sz w:val="20"/>
        </w:rPr>
      </w:pPr>
    </w:p>
    <w:p w14:paraId="496A8CF9" w14:textId="77777777" w:rsidR="00B3381F" w:rsidRDefault="00B3381F" w:rsidP="00B3381F">
      <w:pPr>
        <w:jc w:val="both"/>
        <w:rPr>
          <w:sz w:val="20"/>
        </w:rPr>
      </w:pPr>
      <w:r>
        <w:rPr>
          <w:sz w:val="20"/>
        </w:rPr>
        <w:t>Please note: where reference is made to ‘placements’, this applies to in-service students’ workplaces.</w:t>
      </w:r>
    </w:p>
    <w:p w14:paraId="6EF7B08F" w14:textId="17AF1A62" w:rsidR="00B3381F" w:rsidRDefault="00B3381F" w:rsidP="00B3381F"/>
    <w:p w14:paraId="3393D7A0" w14:textId="656C8E36" w:rsidR="00B3381F" w:rsidRPr="00B3381F" w:rsidRDefault="00B3381F" w:rsidP="00B3381F">
      <w:pPr>
        <w:rPr>
          <w:b/>
          <w:i/>
          <w:sz w:val="20"/>
          <w:u w:val="single"/>
        </w:rPr>
      </w:pPr>
      <w:r w:rsidRPr="00B3381F">
        <w:rPr>
          <w:b/>
          <w:i/>
          <w:sz w:val="20"/>
          <w:u w:val="single"/>
        </w:rPr>
        <w:t>Knowledge and Understanding</w:t>
      </w:r>
    </w:p>
    <w:p w14:paraId="10988AAF" w14:textId="470D169E" w:rsidR="00B3381F" w:rsidRDefault="00B3381F" w:rsidP="00B3381F"/>
    <w:p w14:paraId="32A6F051" w14:textId="28BA63C4" w:rsidR="00B3381F" w:rsidRPr="00B3381F" w:rsidRDefault="00B3381F" w:rsidP="00BC6421">
      <w:pPr>
        <w:pStyle w:val="ListParagraph"/>
        <w:numPr>
          <w:ilvl w:val="0"/>
          <w:numId w:val="17"/>
        </w:numPr>
        <w:ind w:left="360"/>
        <w:jc w:val="both"/>
        <w:rPr>
          <w:sz w:val="20"/>
        </w:rPr>
      </w:pPr>
      <w:r w:rsidRPr="00B3381F">
        <w:rPr>
          <w:sz w:val="20"/>
        </w:rPr>
        <w:t>Key features and purposes of youth and community work.</w:t>
      </w:r>
    </w:p>
    <w:p w14:paraId="495E119E" w14:textId="77777777" w:rsidR="00B3381F" w:rsidRPr="008B4DA8" w:rsidRDefault="00B3381F" w:rsidP="00B3381F">
      <w:pPr>
        <w:jc w:val="both"/>
        <w:rPr>
          <w:color w:val="FF00FF"/>
          <w:sz w:val="20"/>
        </w:rPr>
      </w:pPr>
    </w:p>
    <w:p w14:paraId="38D6AB19" w14:textId="7C7E0620" w:rsidR="00B3381F" w:rsidRPr="008B4DA8" w:rsidRDefault="00B3381F" w:rsidP="00BC6421">
      <w:pPr>
        <w:pStyle w:val="Footer"/>
        <w:numPr>
          <w:ilvl w:val="0"/>
          <w:numId w:val="17"/>
        </w:numPr>
        <w:tabs>
          <w:tab w:val="clear" w:pos="4320"/>
          <w:tab w:val="clear" w:pos="8640"/>
        </w:tabs>
        <w:ind w:left="360"/>
        <w:jc w:val="both"/>
        <w:rPr>
          <w:sz w:val="20"/>
        </w:rPr>
      </w:pPr>
      <w:r w:rsidRPr="008B4DA8">
        <w:rPr>
          <w:sz w:val="20"/>
        </w:rPr>
        <w:t>Definitions of the term ‘community’.</w:t>
      </w:r>
    </w:p>
    <w:p w14:paraId="1E6EA99D" w14:textId="77777777" w:rsidR="00B3381F" w:rsidRPr="008B4DA8" w:rsidRDefault="00B3381F" w:rsidP="00B3381F">
      <w:pPr>
        <w:jc w:val="both"/>
        <w:rPr>
          <w:sz w:val="20"/>
        </w:rPr>
      </w:pPr>
    </w:p>
    <w:p w14:paraId="166DA31C" w14:textId="09BDF629" w:rsidR="00B3381F" w:rsidRPr="00B3381F" w:rsidRDefault="00B3381F" w:rsidP="00BC6421">
      <w:pPr>
        <w:pStyle w:val="ListParagraph"/>
        <w:numPr>
          <w:ilvl w:val="0"/>
          <w:numId w:val="17"/>
        </w:numPr>
        <w:ind w:left="360"/>
        <w:jc w:val="both"/>
        <w:rPr>
          <w:sz w:val="20"/>
        </w:rPr>
      </w:pPr>
      <w:r w:rsidRPr="00B3381F">
        <w:rPr>
          <w:sz w:val="20"/>
        </w:rPr>
        <w:t>The function of reflective practice and the experiential learning cycle.</w:t>
      </w:r>
    </w:p>
    <w:p w14:paraId="0717300F" w14:textId="77777777" w:rsidR="00B3381F" w:rsidRPr="008B4DA8" w:rsidRDefault="00B3381F" w:rsidP="00B3381F">
      <w:pPr>
        <w:jc w:val="both"/>
        <w:rPr>
          <w:color w:val="FF00FF"/>
          <w:sz w:val="20"/>
        </w:rPr>
      </w:pPr>
    </w:p>
    <w:p w14:paraId="1F9B5C7C" w14:textId="37546C32" w:rsidR="00B3381F" w:rsidRPr="00B3381F" w:rsidRDefault="00B3381F" w:rsidP="00BC6421">
      <w:pPr>
        <w:pStyle w:val="ListParagraph"/>
        <w:numPr>
          <w:ilvl w:val="0"/>
          <w:numId w:val="17"/>
        </w:numPr>
        <w:ind w:left="360"/>
        <w:jc w:val="both"/>
        <w:rPr>
          <w:sz w:val="20"/>
        </w:rPr>
      </w:pPr>
      <w:r w:rsidRPr="00B3381F">
        <w:rPr>
          <w:sz w:val="20"/>
        </w:rPr>
        <w:t>The role of the professional worker in youth and community work.</w:t>
      </w:r>
    </w:p>
    <w:p w14:paraId="2637BAE5" w14:textId="77777777" w:rsidR="00B3381F" w:rsidRPr="008B4DA8" w:rsidRDefault="00B3381F" w:rsidP="00B3381F">
      <w:pPr>
        <w:pStyle w:val="Footer"/>
        <w:tabs>
          <w:tab w:val="clear" w:pos="4320"/>
          <w:tab w:val="clear" w:pos="8640"/>
        </w:tabs>
        <w:jc w:val="both"/>
        <w:rPr>
          <w:color w:val="FF00FF"/>
          <w:sz w:val="20"/>
        </w:rPr>
      </w:pPr>
    </w:p>
    <w:p w14:paraId="43099F5C" w14:textId="4BD90250" w:rsidR="00B3381F" w:rsidRPr="00B3381F" w:rsidRDefault="00B3381F" w:rsidP="00BC6421">
      <w:pPr>
        <w:pStyle w:val="ListParagraph"/>
        <w:numPr>
          <w:ilvl w:val="0"/>
          <w:numId w:val="17"/>
        </w:numPr>
        <w:ind w:left="360"/>
        <w:jc w:val="both"/>
        <w:rPr>
          <w:sz w:val="20"/>
        </w:rPr>
      </w:pPr>
      <w:r w:rsidRPr="00B3381F">
        <w:rPr>
          <w:sz w:val="20"/>
        </w:rPr>
        <w:t>The management, organisation and administration of youth and community work.</w:t>
      </w:r>
    </w:p>
    <w:p w14:paraId="633360CA" w14:textId="77777777" w:rsidR="00B3381F" w:rsidRPr="008B4DA8" w:rsidRDefault="00B3381F" w:rsidP="00B3381F">
      <w:pPr>
        <w:jc w:val="both"/>
        <w:rPr>
          <w:sz w:val="20"/>
        </w:rPr>
      </w:pPr>
    </w:p>
    <w:p w14:paraId="45151374" w14:textId="21AF271A" w:rsidR="00B3381F" w:rsidRPr="00B3381F" w:rsidRDefault="00B3381F" w:rsidP="00BC6421">
      <w:pPr>
        <w:pStyle w:val="ListParagraph"/>
        <w:numPr>
          <w:ilvl w:val="0"/>
          <w:numId w:val="17"/>
        </w:numPr>
        <w:ind w:left="360"/>
        <w:jc w:val="both"/>
        <w:rPr>
          <w:sz w:val="20"/>
        </w:rPr>
      </w:pPr>
      <w:r w:rsidRPr="00B3381F">
        <w:rPr>
          <w:sz w:val="20"/>
        </w:rPr>
        <w:t>The processes by which youth and community work can be monitored and evaluated</w:t>
      </w:r>
    </w:p>
    <w:p w14:paraId="54981C76" w14:textId="77777777" w:rsidR="00B3381F" w:rsidRPr="008B4DA8" w:rsidRDefault="00B3381F" w:rsidP="00B3381F">
      <w:pPr>
        <w:jc w:val="both"/>
        <w:rPr>
          <w:sz w:val="20"/>
        </w:rPr>
      </w:pPr>
    </w:p>
    <w:p w14:paraId="6A88B41B" w14:textId="1FD39128" w:rsidR="00B3381F" w:rsidRPr="00B3381F" w:rsidRDefault="00B3381F" w:rsidP="00BC6421">
      <w:pPr>
        <w:pStyle w:val="ListParagraph"/>
        <w:numPr>
          <w:ilvl w:val="0"/>
          <w:numId w:val="17"/>
        </w:numPr>
        <w:ind w:left="360"/>
        <w:jc w:val="both"/>
        <w:rPr>
          <w:sz w:val="20"/>
        </w:rPr>
      </w:pPr>
      <w:r w:rsidRPr="00B3381F">
        <w:rPr>
          <w:sz w:val="20"/>
        </w:rPr>
        <w:t>The history and development of youth and community work and its relevance.</w:t>
      </w:r>
    </w:p>
    <w:p w14:paraId="19725677" w14:textId="77777777" w:rsidR="00B3381F" w:rsidRPr="008B4DA8" w:rsidRDefault="00B3381F" w:rsidP="00B3381F">
      <w:pPr>
        <w:jc w:val="both"/>
        <w:rPr>
          <w:sz w:val="20"/>
        </w:rPr>
      </w:pPr>
    </w:p>
    <w:p w14:paraId="526BC0DC" w14:textId="4E07782D" w:rsidR="00B3381F" w:rsidRPr="00B3381F" w:rsidRDefault="00B3381F" w:rsidP="00BC6421">
      <w:pPr>
        <w:pStyle w:val="ListParagraph"/>
        <w:numPr>
          <w:ilvl w:val="0"/>
          <w:numId w:val="17"/>
        </w:numPr>
        <w:ind w:left="360"/>
        <w:jc w:val="both"/>
        <w:rPr>
          <w:sz w:val="20"/>
        </w:rPr>
      </w:pPr>
      <w:r w:rsidRPr="00B3381F">
        <w:rPr>
          <w:sz w:val="20"/>
        </w:rPr>
        <w:t>Key legislation relating to young people and youth and community work, understands its relevance and applies aspects in practice.</w:t>
      </w:r>
    </w:p>
    <w:p w14:paraId="0AD2A984" w14:textId="77777777" w:rsidR="00B3381F" w:rsidRPr="008B4DA8" w:rsidRDefault="00B3381F" w:rsidP="00B3381F">
      <w:pPr>
        <w:jc w:val="both"/>
        <w:rPr>
          <w:sz w:val="20"/>
        </w:rPr>
      </w:pPr>
    </w:p>
    <w:p w14:paraId="4EBDEE84" w14:textId="7A61EEEE" w:rsidR="00B3381F" w:rsidRPr="00B3381F" w:rsidRDefault="00B3381F" w:rsidP="00BC6421">
      <w:pPr>
        <w:pStyle w:val="ListParagraph"/>
        <w:numPr>
          <w:ilvl w:val="0"/>
          <w:numId w:val="17"/>
        </w:numPr>
        <w:ind w:left="360"/>
        <w:jc w:val="both"/>
        <w:rPr>
          <w:sz w:val="20"/>
        </w:rPr>
      </w:pPr>
      <w:r w:rsidRPr="00B3381F">
        <w:rPr>
          <w:sz w:val="20"/>
        </w:rPr>
        <w:t>Theories and principles underpinning youth work practice.</w:t>
      </w:r>
    </w:p>
    <w:p w14:paraId="67741551" w14:textId="77777777" w:rsidR="00B3381F" w:rsidRPr="008B4DA8" w:rsidRDefault="00B3381F" w:rsidP="00B3381F">
      <w:pPr>
        <w:jc w:val="both"/>
        <w:rPr>
          <w:sz w:val="20"/>
        </w:rPr>
      </w:pPr>
    </w:p>
    <w:p w14:paraId="6B62BCAF" w14:textId="6A31D9BC" w:rsidR="00B3381F" w:rsidRPr="00B3381F" w:rsidRDefault="00B3381F" w:rsidP="00BC6421">
      <w:pPr>
        <w:pStyle w:val="ListParagraph"/>
        <w:numPr>
          <w:ilvl w:val="0"/>
          <w:numId w:val="17"/>
        </w:numPr>
        <w:ind w:left="360"/>
        <w:jc w:val="both"/>
        <w:rPr>
          <w:sz w:val="20"/>
        </w:rPr>
      </w:pPr>
      <w:r w:rsidRPr="00B3381F">
        <w:rPr>
          <w:sz w:val="20"/>
        </w:rPr>
        <w:t>Theories of adolescence and development.</w:t>
      </w:r>
    </w:p>
    <w:p w14:paraId="45ED73DE" w14:textId="77777777" w:rsidR="00B3381F" w:rsidRPr="008B4DA8" w:rsidRDefault="00B3381F" w:rsidP="00B3381F">
      <w:pPr>
        <w:tabs>
          <w:tab w:val="left" w:pos="1560"/>
        </w:tabs>
        <w:jc w:val="both"/>
        <w:rPr>
          <w:sz w:val="20"/>
        </w:rPr>
      </w:pPr>
    </w:p>
    <w:p w14:paraId="5C298A55" w14:textId="59431235" w:rsidR="00B3381F" w:rsidRPr="00B3381F" w:rsidRDefault="00B3381F" w:rsidP="00BC6421">
      <w:pPr>
        <w:pStyle w:val="ListParagraph"/>
        <w:numPr>
          <w:ilvl w:val="0"/>
          <w:numId w:val="17"/>
        </w:numPr>
        <w:ind w:left="360"/>
        <w:rPr>
          <w:sz w:val="20"/>
        </w:rPr>
      </w:pPr>
      <w:r w:rsidRPr="00B3381F">
        <w:rPr>
          <w:sz w:val="20"/>
        </w:rPr>
        <w:t>Relevant ethical frameworks.</w:t>
      </w:r>
    </w:p>
    <w:p w14:paraId="7D1E63ED" w14:textId="11EC71CA" w:rsidR="00B3381F" w:rsidRDefault="00B3381F" w:rsidP="00B3381F">
      <w:pPr>
        <w:rPr>
          <w:sz w:val="20"/>
        </w:rPr>
      </w:pPr>
    </w:p>
    <w:p w14:paraId="36D5FB12" w14:textId="05846658" w:rsidR="00B3381F" w:rsidRPr="00B3381F" w:rsidRDefault="00B3381F" w:rsidP="00B3381F">
      <w:pPr>
        <w:rPr>
          <w:b/>
          <w:i/>
          <w:sz w:val="20"/>
          <w:u w:val="single"/>
        </w:rPr>
      </w:pPr>
      <w:r w:rsidRPr="00B3381F">
        <w:rPr>
          <w:b/>
          <w:i/>
          <w:sz w:val="20"/>
          <w:u w:val="single"/>
        </w:rPr>
        <w:t>Professional/practical skills</w:t>
      </w:r>
    </w:p>
    <w:p w14:paraId="4356FABC" w14:textId="7ADDE40C" w:rsidR="00B3381F" w:rsidRDefault="00B3381F" w:rsidP="00B3381F">
      <w:pPr>
        <w:rPr>
          <w:sz w:val="20"/>
        </w:rPr>
      </w:pPr>
    </w:p>
    <w:p w14:paraId="41366C39" w14:textId="77777777" w:rsidR="00B3381F" w:rsidRPr="00B3381F" w:rsidRDefault="00B3381F" w:rsidP="00BC6421">
      <w:pPr>
        <w:pStyle w:val="ListParagraph"/>
        <w:numPr>
          <w:ilvl w:val="0"/>
          <w:numId w:val="17"/>
        </w:numPr>
        <w:ind w:left="360"/>
        <w:jc w:val="both"/>
        <w:rPr>
          <w:sz w:val="20"/>
        </w:rPr>
      </w:pPr>
      <w:r w:rsidRPr="00B3381F">
        <w:rPr>
          <w:sz w:val="20"/>
        </w:rPr>
        <w:t>Identifies social and economic circumstances influencing communities and individuals.</w:t>
      </w:r>
    </w:p>
    <w:p w14:paraId="5FE29C93" w14:textId="77777777" w:rsidR="00B3381F" w:rsidRPr="008B4DA8" w:rsidRDefault="00B3381F" w:rsidP="00B3381F">
      <w:pPr>
        <w:ind w:left="-360"/>
        <w:jc w:val="both"/>
        <w:rPr>
          <w:sz w:val="20"/>
        </w:rPr>
      </w:pPr>
    </w:p>
    <w:p w14:paraId="139D9363" w14:textId="3876214D" w:rsidR="00B3381F" w:rsidRPr="00B3381F" w:rsidRDefault="00B3381F" w:rsidP="00BC6421">
      <w:pPr>
        <w:pStyle w:val="ListParagraph"/>
        <w:numPr>
          <w:ilvl w:val="0"/>
          <w:numId w:val="17"/>
        </w:numPr>
        <w:ind w:left="360"/>
        <w:jc w:val="both"/>
        <w:rPr>
          <w:sz w:val="20"/>
        </w:rPr>
      </w:pPr>
      <w:r w:rsidRPr="00B3381F">
        <w:rPr>
          <w:sz w:val="20"/>
        </w:rPr>
        <w:t>Identifies structural, environmental and individual factors contributing to social inequalities.</w:t>
      </w:r>
    </w:p>
    <w:p w14:paraId="1F2C0A98" w14:textId="77777777" w:rsidR="00B3381F" w:rsidRPr="008B4DA8" w:rsidRDefault="00B3381F" w:rsidP="00B3381F">
      <w:pPr>
        <w:pStyle w:val="Footer"/>
        <w:ind w:left="-360"/>
        <w:jc w:val="both"/>
        <w:rPr>
          <w:sz w:val="20"/>
        </w:rPr>
      </w:pPr>
    </w:p>
    <w:p w14:paraId="779F2396" w14:textId="6C1BDD2C" w:rsidR="00B3381F" w:rsidRPr="008B4DA8" w:rsidRDefault="00B3381F" w:rsidP="00BC6421">
      <w:pPr>
        <w:pStyle w:val="Footer"/>
        <w:numPr>
          <w:ilvl w:val="0"/>
          <w:numId w:val="17"/>
        </w:numPr>
        <w:ind w:left="360"/>
        <w:jc w:val="both"/>
        <w:rPr>
          <w:sz w:val="20"/>
        </w:rPr>
      </w:pPr>
      <w:r w:rsidRPr="008B4DA8">
        <w:rPr>
          <w:sz w:val="20"/>
        </w:rPr>
        <w:t>Critically analyses differing explanations for these inequalities and can distinguish between them.</w:t>
      </w:r>
    </w:p>
    <w:p w14:paraId="2F251E70" w14:textId="77777777" w:rsidR="00B3381F" w:rsidRPr="008B4DA8" w:rsidRDefault="00B3381F" w:rsidP="00B3381F">
      <w:pPr>
        <w:pStyle w:val="Footer"/>
        <w:ind w:left="-360"/>
        <w:jc w:val="both"/>
        <w:rPr>
          <w:sz w:val="20"/>
        </w:rPr>
      </w:pPr>
    </w:p>
    <w:p w14:paraId="3E0D8CB9" w14:textId="0400CE02" w:rsidR="00B3381F" w:rsidRPr="008B4DA8" w:rsidRDefault="00B3381F" w:rsidP="00BC6421">
      <w:pPr>
        <w:pStyle w:val="Footer"/>
        <w:numPr>
          <w:ilvl w:val="0"/>
          <w:numId w:val="17"/>
        </w:numPr>
        <w:ind w:left="360"/>
        <w:jc w:val="both"/>
        <w:rPr>
          <w:sz w:val="20"/>
        </w:rPr>
      </w:pPr>
      <w:r w:rsidRPr="008B4DA8">
        <w:rPr>
          <w:sz w:val="20"/>
        </w:rPr>
        <w:t>Identifies equal opportunities issues affecting the role of the informal educator.</w:t>
      </w:r>
    </w:p>
    <w:p w14:paraId="28DC6D79" w14:textId="77777777" w:rsidR="00B3381F" w:rsidRPr="008B4DA8" w:rsidRDefault="00B3381F" w:rsidP="00B3381F">
      <w:pPr>
        <w:pStyle w:val="Footer"/>
        <w:ind w:left="-360"/>
        <w:jc w:val="both"/>
        <w:rPr>
          <w:sz w:val="20"/>
        </w:rPr>
      </w:pPr>
    </w:p>
    <w:p w14:paraId="2B6093C0" w14:textId="4D2EC76C" w:rsidR="00B3381F" w:rsidRDefault="00B3381F" w:rsidP="00BC6421">
      <w:pPr>
        <w:pStyle w:val="Footer"/>
        <w:numPr>
          <w:ilvl w:val="0"/>
          <w:numId w:val="17"/>
        </w:numPr>
        <w:ind w:left="360"/>
        <w:jc w:val="both"/>
        <w:rPr>
          <w:sz w:val="20"/>
        </w:rPr>
      </w:pPr>
      <w:r w:rsidRPr="008B4DA8">
        <w:rPr>
          <w:sz w:val="20"/>
        </w:rPr>
        <w:t>Systematically reflects the changing nature of the political, policy and economic environment within which youth and community work takes place, and differing explanations for these changes.</w:t>
      </w:r>
    </w:p>
    <w:p w14:paraId="16A55786" w14:textId="601B68A0" w:rsidR="00B3381F" w:rsidRDefault="00B3381F" w:rsidP="00B3381F">
      <w:pPr>
        <w:pStyle w:val="Footer"/>
        <w:jc w:val="both"/>
        <w:rPr>
          <w:sz w:val="20"/>
        </w:rPr>
      </w:pPr>
    </w:p>
    <w:p w14:paraId="6B125202" w14:textId="77777777" w:rsidR="00B3381F" w:rsidRPr="00B3381F" w:rsidRDefault="00B3381F" w:rsidP="00BC6421">
      <w:pPr>
        <w:pStyle w:val="ListParagraph"/>
        <w:numPr>
          <w:ilvl w:val="0"/>
          <w:numId w:val="17"/>
        </w:numPr>
        <w:ind w:left="360"/>
        <w:jc w:val="both"/>
        <w:rPr>
          <w:sz w:val="20"/>
        </w:rPr>
      </w:pPr>
      <w:r w:rsidRPr="00B3381F">
        <w:rPr>
          <w:sz w:val="20"/>
        </w:rPr>
        <w:t>Builds relationships with young people which enable them to explore and make sense of their experiences, and plan and take action.</w:t>
      </w:r>
    </w:p>
    <w:p w14:paraId="38E102B3" w14:textId="77777777" w:rsidR="00B3381F" w:rsidRPr="008B4DA8" w:rsidRDefault="00B3381F" w:rsidP="00B3381F">
      <w:pPr>
        <w:jc w:val="both"/>
        <w:rPr>
          <w:sz w:val="20"/>
        </w:rPr>
      </w:pPr>
    </w:p>
    <w:p w14:paraId="2B315D21" w14:textId="77777777" w:rsidR="00B3381F" w:rsidRPr="00B3381F" w:rsidRDefault="00B3381F" w:rsidP="00BC6421">
      <w:pPr>
        <w:pStyle w:val="ListParagraph"/>
        <w:numPr>
          <w:ilvl w:val="0"/>
          <w:numId w:val="17"/>
        </w:numPr>
        <w:ind w:left="360"/>
        <w:jc w:val="both"/>
        <w:rPr>
          <w:sz w:val="20"/>
        </w:rPr>
      </w:pPr>
      <w:r w:rsidRPr="00B3381F">
        <w:rPr>
          <w:sz w:val="20"/>
        </w:rPr>
        <w:t>Facilitates young people’s learning and personal and social development.</w:t>
      </w:r>
    </w:p>
    <w:p w14:paraId="1FCE7523" w14:textId="77777777" w:rsidR="00B3381F" w:rsidRPr="008B4DA8" w:rsidRDefault="00B3381F" w:rsidP="00B3381F">
      <w:pPr>
        <w:jc w:val="both"/>
        <w:rPr>
          <w:sz w:val="20"/>
        </w:rPr>
      </w:pPr>
    </w:p>
    <w:p w14:paraId="4E707164" w14:textId="77777777" w:rsidR="00B3381F" w:rsidRPr="00B3381F" w:rsidRDefault="00B3381F" w:rsidP="00BC6421">
      <w:pPr>
        <w:pStyle w:val="ListParagraph"/>
        <w:numPr>
          <w:ilvl w:val="0"/>
          <w:numId w:val="17"/>
        </w:numPr>
        <w:ind w:left="360"/>
        <w:jc w:val="both"/>
        <w:rPr>
          <w:sz w:val="20"/>
        </w:rPr>
      </w:pPr>
      <w:r w:rsidRPr="00B3381F">
        <w:rPr>
          <w:sz w:val="20"/>
        </w:rPr>
        <w:t>Enables communities to organise, and take increasing responsibility for activities, events and projects.</w:t>
      </w:r>
    </w:p>
    <w:p w14:paraId="4ABAF393" w14:textId="77777777" w:rsidR="00B3381F" w:rsidRPr="008B4DA8" w:rsidRDefault="00B3381F" w:rsidP="00B3381F">
      <w:pPr>
        <w:jc w:val="both"/>
        <w:rPr>
          <w:sz w:val="20"/>
        </w:rPr>
      </w:pPr>
    </w:p>
    <w:p w14:paraId="011F3DFA" w14:textId="77777777" w:rsidR="00B3381F" w:rsidRPr="00B3381F" w:rsidRDefault="00B3381F" w:rsidP="00BC6421">
      <w:pPr>
        <w:pStyle w:val="ListParagraph"/>
        <w:numPr>
          <w:ilvl w:val="0"/>
          <w:numId w:val="17"/>
        </w:numPr>
        <w:ind w:left="360"/>
        <w:jc w:val="both"/>
        <w:rPr>
          <w:sz w:val="20"/>
        </w:rPr>
      </w:pPr>
      <w:r w:rsidRPr="00B3381F">
        <w:rPr>
          <w:sz w:val="20"/>
        </w:rPr>
        <w:t>Works with young people in accordance with the core values of youth work.</w:t>
      </w:r>
    </w:p>
    <w:p w14:paraId="26993EB1" w14:textId="77777777" w:rsidR="00B3381F" w:rsidRPr="008B4DA8" w:rsidRDefault="00B3381F" w:rsidP="00B3381F">
      <w:pPr>
        <w:jc w:val="both"/>
        <w:rPr>
          <w:sz w:val="20"/>
        </w:rPr>
      </w:pPr>
    </w:p>
    <w:p w14:paraId="6006DFD8" w14:textId="77777777" w:rsidR="00B3381F" w:rsidRPr="00B3381F" w:rsidRDefault="00B3381F" w:rsidP="00BC6421">
      <w:pPr>
        <w:pStyle w:val="ListParagraph"/>
        <w:numPr>
          <w:ilvl w:val="0"/>
          <w:numId w:val="17"/>
        </w:numPr>
        <w:ind w:left="360"/>
        <w:jc w:val="both"/>
        <w:rPr>
          <w:sz w:val="20"/>
        </w:rPr>
      </w:pPr>
      <w:r w:rsidRPr="00B3381F">
        <w:rPr>
          <w:sz w:val="20"/>
        </w:rPr>
        <w:t>Plans, manages and develops youth and community work programmes.</w:t>
      </w:r>
    </w:p>
    <w:p w14:paraId="02C65B1E" w14:textId="77777777" w:rsidR="00B3381F" w:rsidRPr="008B4DA8" w:rsidRDefault="00B3381F" w:rsidP="00B3381F">
      <w:pPr>
        <w:jc w:val="both"/>
        <w:rPr>
          <w:sz w:val="20"/>
        </w:rPr>
      </w:pPr>
    </w:p>
    <w:p w14:paraId="0EA25070" w14:textId="77777777" w:rsidR="00B3381F" w:rsidRPr="00B3381F" w:rsidRDefault="00B3381F" w:rsidP="00BC6421">
      <w:pPr>
        <w:pStyle w:val="ListParagraph"/>
        <w:numPr>
          <w:ilvl w:val="0"/>
          <w:numId w:val="17"/>
        </w:numPr>
        <w:ind w:left="360"/>
        <w:jc w:val="both"/>
        <w:rPr>
          <w:sz w:val="20"/>
        </w:rPr>
      </w:pPr>
      <w:r w:rsidRPr="00B3381F">
        <w:rPr>
          <w:sz w:val="20"/>
        </w:rPr>
        <w:t xml:space="preserve">Supports and develops effective, efficient and ethical practice in youth and community work. </w:t>
      </w:r>
    </w:p>
    <w:p w14:paraId="03F4978F" w14:textId="77777777" w:rsidR="00B3381F" w:rsidRPr="008B4DA8" w:rsidRDefault="00B3381F" w:rsidP="00B3381F">
      <w:pPr>
        <w:jc w:val="both"/>
        <w:rPr>
          <w:sz w:val="20"/>
        </w:rPr>
      </w:pPr>
    </w:p>
    <w:p w14:paraId="5966FC46" w14:textId="77777777" w:rsidR="00B3381F" w:rsidRPr="00B3381F" w:rsidRDefault="00B3381F" w:rsidP="00BC6421">
      <w:pPr>
        <w:pStyle w:val="ListParagraph"/>
        <w:numPr>
          <w:ilvl w:val="0"/>
          <w:numId w:val="17"/>
        </w:numPr>
        <w:ind w:left="360"/>
        <w:jc w:val="both"/>
        <w:rPr>
          <w:sz w:val="20"/>
        </w:rPr>
      </w:pPr>
      <w:r w:rsidRPr="00B3381F">
        <w:rPr>
          <w:sz w:val="20"/>
        </w:rPr>
        <w:t>Develops the skills, values and knowledge identified as the foundation of youth and community work practice.</w:t>
      </w:r>
    </w:p>
    <w:p w14:paraId="5EE8F387" w14:textId="77777777" w:rsidR="00B3381F" w:rsidRPr="008B4DA8" w:rsidRDefault="00B3381F" w:rsidP="00B3381F">
      <w:pPr>
        <w:jc w:val="both"/>
        <w:rPr>
          <w:sz w:val="20"/>
        </w:rPr>
      </w:pPr>
    </w:p>
    <w:p w14:paraId="29D363AD" w14:textId="77777777" w:rsidR="00B3381F" w:rsidRPr="00B3381F" w:rsidRDefault="00B3381F" w:rsidP="00BC6421">
      <w:pPr>
        <w:pStyle w:val="ListParagraph"/>
        <w:numPr>
          <w:ilvl w:val="0"/>
          <w:numId w:val="17"/>
        </w:numPr>
        <w:ind w:left="360"/>
        <w:jc w:val="both"/>
        <w:rPr>
          <w:sz w:val="20"/>
        </w:rPr>
      </w:pPr>
      <w:r w:rsidRPr="00B3381F">
        <w:rPr>
          <w:sz w:val="20"/>
        </w:rPr>
        <w:t>Demonstrates effective face to face skills working with young people, and others.</w:t>
      </w:r>
    </w:p>
    <w:p w14:paraId="2DA3B153" w14:textId="77777777" w:rsidR="00B3381F" w:rsidRPr="008B4DA8" w:rsidRDefault="00B3381F" w:rsidP="00B3381F">
      <w:pPr>
        <w:jc w:val="both"/>
        <w:rPr>
          <w:sz w:val="20"/>
        </w:rPr>
      </w:pPr>
    </w:p>
    <w:p w14:paraId="7BD68FF2" w14:textId="77777777" w:rsidR="00B3381F" w:rsidRPr="00B3381F" w:rsidRDefault="00B3381F" w:rsidP="00BC6421">
      <w:pPr>
        <w:pStyle w:val="ListParagraph"/>
        <w:numPr>
          <w:ilvl w:val="0"/>
          <w:numId w:val="17"/>
        </w:numPr>
        <w:ind w:left="360"/>
        <w:jc w:val="both"/>
        <w:rPr>
          <w:sz w:val="20"/>
        </w:rPr>
      </w:pPr>
      <w:r w:rsidRPr="00B3381F">
        <w:rPr>
          <w:sz w:val="20"/>
        </w:rPr>
        <w:t>Works developmentally in, and with, communities and community groups.</w:t>
      </w:r>
    </w:p>
    <w:p w14:paraId="715D2C19" w14:textId="77777777" w:rsidR="00B3381F" w:rsidRPr="008B4DA8" w:rsidRDefault="00B3381F" w:rsidP="00B3381F">
      <w:pPr>
        <w:jc w:val="both"/>
        <w:rPr>
          <w:sz w:val="20"/>
        </w:rPr>
      </w:pPr>
    </w:p>
    <w:p w14:paraId="1E71BE95" w14:textId="77777777" w:rsidR="00B3381F" w:rsidRPr="00B3381F" w:rsidRDefault="00B3381F" w:rsidP="00BC6421">
      <w:pPr>
        <w:pStyle w:val="ListParagraph"/>
        <w:numPr>
          <w:ilvl w:val="0"/>
          <w:numId w:val="17"/>
        </w:numPr>
        <w:ind w:left="360"/>
        <w:jc w:val="both"/>
        <w:rPr>
          <w:sz w:val="20"/>
        </w:rPr>
      </w:pPr>
      <w:r w:rsidRPr="00B3381F">
        <w:rPr>
          <w:sz w:val="20"/>
        </w:rPr>
        <w:t>Demonstrates professional competence and integrity.</w:t>
      </w:r>
    </w:p>
    <w:p w14:paraId="0CA92B94" w14:textId="77777777" w:rsidR="00B3381F" w:rsidRPr="008B4DA8" w:rsidRDefault="00B3381F" w:rsidP="00B3381F">
      <w:pPr>
        <w:jc w:val="both"/>
        <w:rPr>
          <w:sz w:val="20"/>
        </w:rPr>
      </w:pPr>
    </w:p>
    <w:p w14:paraId="50F99140" w14:textId="77777777" w:rsidR="00B3381F" w:rsidRPr="00B3381F" w:rsidRDefault="00B3381F" w:rsidP="00BC6421">
      <w:pPr>
        <w:pStyle w:val="ListParagraph"/>
        <w:numPr>
          <w:ilvl w:val="0"/>
          <w:numId w:val="17"/>
        </w:numPr>
        <w:ind w:left="360"/>
        <w:jc w:val="both"/>
        <w:rPr>
          <w:sz w:val="20"/>
        </w:rPr>
      </w:pPr>
      <w:r w:rsidRPr="00B3381F">
        <w:rPr>
          <w:sz w:val="20"/>
        </w:rPr>
        <w:t>Plans, develops and contributes to the management of youth and community work programmes.</w:t>
      </w:r>
    </w:p>
    <w:p w14:paraId="11461ED7" w14:textId="77777777" w:rsidR="00B3381F" w:rsidRPr="008B4DA8" w:rsidRDefault="00B3381F" w:rsidP="00B3381F">
      <w:pPr>
        <w:jc w:val="both"/>
        <w:rPr>
          <w:sz w:val="20"/>
        </w:rPr>
      </w:pPr>
    </w:p>
    <w:p w14:paraId="4A19E8BC" w14:textId="77777777" w:rsidR="00B3381F" w:rsidRPr="00B3381F" w:rsidRDefault="00B3381F" w:rsidP="00BC6421">
      <w:pPr>
        <w:pStyle w:val="ListParagraph"/>
        <w:numPr>
          <w:ilvl w:val="0"/>
          <w:numId w:val="17"/>
        </w:numPr>
        <w:ind w:left="360"/>
        <w:jc w:val="both"/>
        <w:rPr>
          <w:sz w:val="20"/>
        </w:rPr>
      </w:pPr>
      <w:r w:rsidRPr="00B3381F">
        <w:rPr>
          <w:sz w:val="20"/>
        </w:rPr>
        <w:t>Supports and develops effective, efficient and ethical practices in youth and community work.</w:t>
      </w:r>
    </w:p>
    <w:p w14:paraId="5F024AD6" w14:textId="77777777" w:rsidR="00B3381F" w:rsidRPr="008B4DA8" w:rsidRDefault="00B3381F" w:rsidP="00B3381F">
      <w:pPr>
        <w:jc w:val="both"/>
        <w:rPr>
          <w:sz w:val="20"/>
        </w:rPr>
      </w:pPr>
    </w:p>
    <w:p w14:paraId="75FDEC13" w14:textId="77777777" w:rsidR="00B3381F" w:rsidRPr="00B3381F" w:rsidRDefault="00B3381F" w:rsidP="00BC6421">
      <w:pPr>
        <w:pStyle w:val="ListParagraph"/>
        <w:numPr>
          <w:ilvl w:val="0"/>
          <w:numId w:val="17"/>
        </w:numPr>
        <w:ind w:left="360"/>
        <w:jc w:val="both"/>
        <w:rPr>
          <w:sz w:val="20"/>
        </w:rPr>
      </w:pPr>
      <w:r w:rsidRPr="00B3381F">
        <w:rPr>
          <w:sz w:val="20"/>
        </w:rPr>
        <w:t>Demonstrates a commitment to, and the abilities of, a reflective practitioner who can link theory with practice</w:t>
      </w:r>
    </w:p>
    <w:p w14:paraId="29568A2B" w14:textId="77777777" w:rsidR="00B3381F" w:rsidRPr="008B4DA8" w:rsidRDefault="00B3381F" w:rsidP="00B3381F">
      <w:pPr>
        <w:jc w:val="both"/>
        <w:rPr>
          <w:sz w:val="20"/>
        </w:rPr>
      </w:pPr>
    </w:p>
    <w:p w14:paraId="77FF516F" w14:textId="77777777" w:rsidR="00B3381F" w:rsidRPr="00B3381F" w:rsidRDefault="00B3381F" w:rsidP="00BC6421">
      <w:pPr>
        <w:pStyle w:val="ListParagraph"/>
        <w:numPr>
          <w:ilvl w:val="0"/>
          <w:numId w:val="17"/>
        </w:numPr>
        <w:ind w:left="360"/>
        <w:jc w:val="both"/>
        <w:rPr>
          <w:sz w:val="20"/>
        </w:rPr>
      </w:pPr>
      <w:r w:rsidRPr="00B3381F">
        <w:rPr>
          <w:sz w:val="20"/>
        </w:rPr>
        <w:t>Develops research skills appropriate to youth and community work including skills related to needs analysis and practice-based research.</w:t>
      </w:r>
    </w:p>
    <w:p w14:paraId="18E409E9" w14:textId="77777777" w:rsidR="00B3381F" w:rsidRPr="008B4DA8" w:rsidRDefault="00B3381F" w:rsidP="00B3381F">
      <w:pPr>
        <w:jc w:val="both"/>
        <w:rPr>
          <w:sz w:val="20"/>
        </w:rPr>
      </w:pPr>
    </w:p>
    <w:p w14:paraId="7F5CE969" w14:textId="77777777" w:rsidR="00B3381F" w:rsidRPr="00B3381F" w:rsidRDefault="00B3381F" w:rsidP="00BC6421">
      <w:pPr>
        <w:pStyle w:val="ListParagraph"/>
        <w:numPr>
          <w:ilvl w:val="0"/>
          <w:numId w:val="17"/>
        </w:numPr>
        <w:ind w:left="360"/>
        <w:jc w:val="both"/>
        <w:rPr>
          <w:sz w:val="20"/>
        </w:rPr>
      </w:pPr>
      <w:r w:rsidRPr="00B3381F">
        <w:rPr>
          <w:sz w:val="20"/>
        </w:rPr>
        <w:t>Undertakes development projects specific to youth and community work practice.</w:t>
      </w:r>
    </w:p>
    <w:p w14:paraId="2A736312" w14:textId="77777777" w:rsidR="00B3381F" w:rsidRPr="008B4DA8" w:rsidRDefault="00B3381F" w:rsidP="00B3381F">
      <w:pPr>
        <w:jc w:val="both"/>
        <w:rPr>
          <w:sz w:val="20"/>
        </w:rPr>
      </w:pPr>
    </w:p>
    <w:p w14:paraId="16899DC4" w14:textId="2F16A34E" w:rsidR="00B3381F" w:rsidRDefault="00B3381F" w:rsidP="00BC6421">
      <w:pPr>
        <w:pStyle w:val="Footer"/>
        <w:numPr>
          <w:ilvl w:val="0"/>
          <w:numId w:val="17"/>
        </w:numPr>
        <w:ind w:left="360"/>
        <w:jc w:val="both"/>
        <w:rPr>
          <w:sz w:val="20"/>
        </w:rPr>
      </w:pPr>
      <w:r w:rsidRPr="008B4DA8">
        <w:rPr>
          <w:sz w:val="20"/>
        </w:rPr>
        <w:t>Evaluates own, and others’, professional practice.</w:t>
      </w:r>
    </w:p>
    <w:p w14:paraId="1283AA40" w14:textId="60271497" w:rsidR="00B3381F" w:rsidRDefault="00B3381F" w:rsidP="00B3381F">
      <w:pPr>
        <w:pStyle w:val="Footer"/>
        <w:jc w:val="both"/>
        <w:rPr>
          <w:sz w:val="20"/>
        </w:rPr>
      </w:pPr>
    </w:p>
    <w:p w14:paraId="564DDFA9" w14:textId="30FEFADB" w:rsidR="00B3381F" w:rsidRPr="00B3381F" w:rsidRDefault="00B3381F" w:rsidP="00B3381F">
      <w:pPr>
        <w:pStyle w:val="Footer"/>
        <w:jc w:val="both"/>
        <w:rPr>
          <w:b/>
          <w:i/>
          <w:sz w:val="20"/>
          <w:u w:val="single"/>
        </w:rPr>
      </w:pPr>
      <w:r w:rsidRPr="00B3381F">
        <w:rPr>
          <w:b/>
          <w:i/>
          <w:sz w:val="20"/>
          <w:u w:val="single"/>
        </w:rPr>
        <w:t>Transferable/Key Skills</w:t>
      </w:r>
    </w:p>
    <w:p w14:paraId="40EA7D19" w14:textId="7ECE043E" w:rsidR="00B3381F" w:rsidRDefault="00B3381F" w:rsidP="00B3381F">
      <w:pPr>
        <w:pStyle w:val="Footer"/>
        <w:jc w:val="both"/>
        <w:rPr>
          <w:sz w:val="20"/>
        </w:rPr>
      </w:pPr>
    </w:p>
    <w:p w14:paraId="52DDF15C" w14:textId="77777777" w:rsidR="00B3381F" w:rsidRPr="00B3381F" w:rsidRDefault="00B3381F" w:rsidP="00BC6421">
      <w:pPr>
        <w:pStyle w:val="ListParagraph"/>
        <w:numPr>
          <w:ilvl w:val="0"/>
          <w:numId w:val="17"/>
        </w:numPr>
        <w:ind w:left="360"/>
        <w:jc w:val="both"/>
        <w:rPr>
          <w:sz w:val="20"/>
        </w:rPr>
      </w:pPr>
      <w:r w:rsidRPr="00B3381F">
        <w:rPr>
          <w:sz w:val="20"/>
        </w:rPr>
        <w:t>Develops confidence and competence in the use of ICT.</w:t>
      </w:r>
    </w:p>
    <w:p w14:paraId="278138A8" w14:textId="77777777" w:rsidR="00B3381F" w:rsidRPr="008B4DA8" w:rsidRDefault="00B3381F" w:rsidP="00B3381F">
      <w:pPr>
        <w:jc w:val="both"/>
        <w:rPr>
          <w:sz w:val="20"/>
        </w:rPr>
      </w:pPr>
    </w:p>
    <w:p w14:paraId="23673D87" w14:textId="77777777" w:rsidR="00B3381F" w:rsidRPr="00B3381F" w:rsidRDefault="00B3381F" w:rsidP="00BC6421">
      <w:pPr>
        <w:pStyle w:val="ListParagraph"/>
        <w:numPr>
          <w:ilvl w:val="0"/>
          <w:numId w:val="17"/>
        </w:numPr>
        <w:ind w:left="360"/>
        <w:jc w:val="both"/>
        <w:rPr>
          <w:sz w:val="20"/>
        </w:rPr>
      </w:pPr>
      <w:r w:rsidRPr="00B3381F">
        <w:rPr>
          <w:sz w:val="20"/>
        </w:rPr>
        <w:t>Identifies strengths and weaknesses in arguments and opinions.</w:t>
      </w:r>
    </w:p>
    <w:p w14:paraId="4AB03C3C" w14:textId="77777777" w:rsidR="00B3381F" w:rsidRPr="008B4DA8" w:rsidRDefault="00B3381F" w:rsidP="00B3381F">
      <w:pPr>
        <w:jc w:val="both"/>
        <w:rPr>
          <w:sz w:val="20"/>
        </w:rPr>
      </w:pPr>
    </w:p>
    <w:p w14:paraId="66039B9E" w14:textId="77777777" w:rsidR="00B3381F" w:rsidRPr="00B3381F" w:rsidRDefault="00B3381F" w:rsidP="00BC6421">
      <w:pPr>
        <w:pStyle w:val="ListParagraph"/>
        <w:numPr>
          <w:ilvl w:val="0"/>
          <w:numId w:val="17"/>
        </w:numPr>
        <w:ind w:left="360"/>
        <w:jc w:val="both"/>
        <w:rPr>
          <w:sz w:val="20"/>
        </w:rPr>
      </w:pPr>
      <w:r w:rsidRPr="00B3381F">
        <w:rPr>
          <w:sz w:val="20"/>
        </w:rPr>
        <w:t>Communicates effectively both verbally and in writing.</w:t>
      </w:r>
    </w:p>
    <w:p w14:paraId="3375E3BA" w14:textId="77777777" w:rsidR="00B3381F" w:rsidRPr="008B4DA8" w:rsidRDefault="00B3381F" w:rsidP="00B3381F">
      <w:pPr>
        <w:jc w:val="both"/>
        <w:rPr>
          <w:sz w:val="20"/>
        </w:rPr>
      </w:pPr>
    </w:p>
    <w:p w14:paraId="4CAE1C8E" w14:textId="77777777" w:rsidR="00B3381F" w:rsidRPr="00B3381F" w:rsidRDefault="00B3381F" w:rsidP="00BC6421">
      <w:pPr>
        <w:pStyle w:val="ListParagraph"/>
        <w:numPr>
          <w:ilvl w:val="0"/>
          <w:numId w:val="17"/>
        </w:numPr>
        <w:ind w:left="360"/>
        <w:jc w:val="both"/>
        <w:rPr>
          <w:sz w:val="20"/>
        </w:rPr>
      </w:pPr>
      <w:r w:rsidRPr="00B3381F">
        <w:rPr>
          <w:sz w:val="20"/>
        </w:rPr>
        <w:t>Develops confidence, a sense of autonomy and the ability to work independently.</w:t>
      </w:r>
    </w:p>
    <w:p w14:paraId="4E8A4016" w14:textId="77777777" w:rsidR="00B3381F" w:rsidRPr="008B4DA8" w:rsidRDefault="00B3381F" w:rsidP="00B3381F">
      <w:pPr>
        <w:jc w:val="both"/>
        <w:rPr>
          <w:sz w:val="20"/>
        </w:rPr>
      </w:pPr>
    </w:p>
    <w:p w14:paraId="28C9774B" w14:textId="77777777" w:rsidR="00B3381F" w:rsidRPr="00B3381F" w:rsidRDefault="00B3381F" w:rsidP="00BC6421">
      <w:pPr>
        <w:pStyle w:val="ListParagraph"/>
        <w:numPr>
          <w:ilvl w:val="0"/>
          <w:numId w:val="17"/>
        </w:numPr>
        <w:ind w:left="360"/>
        <w:jc w:val="both"/>
        <w:rPr>
          <w:sz w:val="20"/>
        </w:rPr>
      </w:pPr>
      <w:r w:rsidRPr="00B3381F">
        <w:rPr>
          <w:sz w:val="20"/>
        </w:rPr>
        <w:t>Demonstrates a high level of literacy and communication skills.</w:t>
      </w:r>
    </w:p>
    <w:p w14:paraId="53F22FEB" w14:textId="77777777" w:rsidR="00B3381F" w:rsidRPr="008B4DA8" w:rsidRDefault="00B3381F" w:rsidP="00B3381F">
      <w:pPr>
        <w:jc w:val="both"/>
        <w:rPr>
          <w:sz w:val="20"/>
        </w:rPr>
      </w:pPr>
    </w:p>
    <w:p w14:paraId="0D2522A4" w14:textId="77777777" w:rsidR="00B3381F" w:rsidRPr="00B3381F" w:rsidRDefault="00B3381F" w:rsidP="00BC6421">
      <w:pPr>
        <w:pStyle w:val="ListParagraph"/>
        <w:numPr>
          <w:ilvl w:val="0"/>
          <w:numId w:val="17"/>
        </w:numPr>
        <w:ind w:left="360"/>
        <w:jc w:val="both"/>
        <w:rPr>
          <w:sz w:val="20"/>
        </w:rPr>
      </w:pPr>
      <w:r w:rsidRPr="00B3381F">
        <w:rPr>
          <w:sz w:val="20"/>
        </w:rPr>
        <w:t>Understands and compiles numerical data.</w:t>
      </w:r>
    </w:p>
    <w:p w14:paraId="64AEA001" w14:textId="77777777" w:rsidR="00B3381F" w:rsidRPr="008B4DA8" w:rsidRDefault="00B3381F" w:rsidP="00B3381F">
      <w:pPr>
        <w:jc w:val="both"/>
        <w:rPr>
          <w:sz w:val="20"/>
        </w:rPr>
      </w:pPr>
    </w:p>
    <w:p w14:paraId="1A3D2992" w14:textId="77777777" w:rsidR="00B3381F" w:rsidRPr="00B3381F" w:rsidRDefault="00B3381F" w:rsidP="00BC6421">
      <w:pPr>
        <w:pStyle w:val="ListParagraph"/>
        <w:numPr>
          <w:ilvl w:val="0"/>
          <w:numId w:val="17"/>
        </w:numPr>
        <w:ind w:left="360"/>
        <w:jc w:val="both"/>
        <w:rPr>
          <w:sz w:val="20"/>
        </w:rPr>
      </w:pPr>
      <w:r w:rsidRPr="00B3381F">
        <w:rPr>
          <w:sz w:val="20"/>
        </w:rPr>
        <w:t>Works effectively as a member of a team, taking the lead where appropriate.</w:t>
      </w:r>
    </w:p>
    <w:p w14:paraId="37708C66" w14:textId="77777777" w:rsidR="00B3381F" w:rsidRPr="008B4DA8" w:rsidRDefault="00B3381F" w:rsidP="00B3381F">
      <w:pPr>
        <w:jc w:val="both"/>
        <w:rPr>
          <w:sz w:val="20"/>
        </w:rPr>
      </w:pPr>
    </w:p>
    <w:p w14:paraId="73C6EE08" w14:textId="77777777" w:rsidR="00B3381F" w:rsidRPr="00B3381F" w:rsidRDefault="00B3381F" w:rsidP="00BC6421">
      <w:pPr>
        <w:pStyle w:val="ListParagraph"/>
        <w:numPr>
          <w:ilvl w:val="0"/>
          <w:numId w:val="17"/>
        </w:numPr>
        <w:ind w:left="360"/>
        <w:jc w:val="both"/>
        <w:rPr>
          <w:sz w:val="20"/>
        </w:rPr>
      </w:pPr>
      <w:r w:rsidRPr="00B3381F">
        <w:rPr>
          <w:sz w:val="20"/>
        </w:rPr>
        <w:t>Develops anti-oppressive practice and recognises and challenges own prejudices and oppressive behaviours.</w:t>
      </w:r>
    </w:p>
    <w:p w14:paraId="31A6A5F6" w14:textId="77777777" w:rsidR="00B3381F" w:rsidRPr="008B4DA8" w:rsidRDefault="00B3381F" w:rsidP="00B3381F">
      <w:pPr>
        <w:jc w:val="both"/>
        <w:rPr>
          <w:sz w:val="20"/>
        </w:rPr>
      </w:pPr>
    </w:p>
    <w:p w14:paraId="6139AE59" w14:textId="7CE28051" w:rsidR="00B3381F" w:rsidRPr="00B3381F" w:rsidRDefault="00B3381F" w:rsidP="00BC6421">
      <w:pPr>
        <w:pStyle w:val="ListParagraph"/>
        <w:numPr>
          <w:ilvl w:val="0"/>
          <w:numId w:val="17"/>
        </w:numPr>
        <w:ind w:left="360"/>
        <w:jc w:val="both"/>
        <w:rPr>
          <w:sz w:val="20"/>
        </w:rPr>
      </w:pPr>
      <w:r w:rsidRPr="00B3381F">
        <w:rPr>
          <w:sz w:val="20"/>
        </w:rPr>
        <w:t>Develops enhanced self-awareness leading to an understanding of personal strengths, weaknesses and preferred learning and working styles.</w:t>
      </w:r>
    </w:p>
    <w:p w14:paraId="1861AA86" w14:textId="75D79D56" w:rsidR="00B3381F" w:rsidRDefault="00B3381F" w:rsidP="00B3381F">
      <w:pPr>
        <w:jc w:val="both"/>
        <w:rPr>
          <w:sz w:val="20"/>
        </w:rPr>
      </w:pPr>
    </w:p>
    <w:p w14:paraId="7BB7AF45" w14:textId="77777777" w:rsidR="00B3381F" w:rsidRPr="00B3381F" w:rsidRDefault="00B3381F" w:rsidP="00BC6421">
      <w:pPr>
        <w:pStyle w:val="ListParagraph"/>
        <w:numPr>
          <w:ilvl w:val="0"/>
          <w:numId w:val="17"/>
        </w:numPr>
        <w:ind w:left="360"/>
        <w:jc w:val="both"/>
        <w:rPr>
          <w:sz w:val="20"/>
        </w:rPr>
      </w:pPr>
      <w:r w:rsidRPr="00B3381F">
        <w:rPr>
          <w:sz w:val="20"/>
        </w:rPr>
        <w:t>Develops a strong sense of professionalism and professional responsibility.</w:t>
      </w:r>
    </w:p>
    <w:p w14:paraId="50CBE579" w14:textId="77777777" w:rsidR="00B3381F" w:rsidRPr="008B4DA8" w:rsidRDefault="00B3381F" w:rsidP="00B3381F">
      <w:pPr>
        <w:jc w:val="both"/>
        <w:rPr>
          <w:sz w:val="20"/>
        </w:rPr>
      </w:pPr>
    </w:p>
    <w:p w14:paraId="392F3317" w14:textId="77777777" w:rsidR="00B3381F" w:rsidRPr="00B3381F" w:rsidRDefault="00B3381F" w:rsidP="00BC6421">
      <w:pPr>
        <w:pStyle w:val="ListParagraph"/>
        <w:numPr>
          <w:ilvl w:val="0"/>
          <w:numId w:val="17"/>
        </w:numPr>
        <w:ind w:left="360"/>
        <w:jc w:val="both"/>
        <w:rPr>
          <w:sz w:val="20"/>
        </w:rPr>
      </w:pPr>
      <w:r w:rsidRPr="00B3381F">
        <w:rPr>
          <w:sz w:val="20"/>
        </w:rPr>
        <w:t>Develops awareness of own performance when working individually, in teams and in groups.</w:t>
      </w:r>
    </w:p>
    <w:p w14:paraId="62C7D4EB" w14:textId="77777777" w:rsidR="00B3381F" w:rsidRPr="008B4DA8" w:rsidRDefault="00B3381F" w:rsidP="00B3381F">
      <w:pPr>
        <w:jc w:val="both"/>
        <w:rPr>
          <w:sz w:val="20"/>
        </w:rPr>
      </w:pPr>
    </w:p>
    <w:p w14:paraId="274013DD" w14:textId="77777777" w:rsidR="00B3381F" w:rsidRPr="00B3381F" w:rsidRDefault="00B3381F" w:rsidP="00BC6421">
      <w:pPr>
        <w:pStyle w:val="ListParagraph"/>
        <w:numPr>
          <w:ilvl w:val="0"/>
          <w:numId w:val="17"/>
        </w:numPr>
        <w:ind w:left="360"/>
        <w:jc w:val="both"/>
        <w:rPr>
          <w:sz w:val="20"/>
        </w:rPr>
      </w:pPr>
      <w:r w:rsidRPr="00B3381F">
        <w:rPr>
          <w:sz w:val="20"/>
        </w:rPr>
        <w:t>Develops the ability to use relevant empirical and theoretical data in addressing tasks and formulating possible actions.</w:t>
      </w:r>
    </w:p>
    <w:p w14:paraId="6046CC9E" w14:textId="77777777" w:rsidR="00B3381F" w:rsidRPr="008B4DA8" w:rsidRDefault="00B3381F" w:rsidP="00B3381F">
      <w:pPr>
        <w:jc w:val="both"/>
        <w:rPr>
          <w:sz w:val="20"/>
        </w:rPr>
      </w:pPr>
    </w:p>
    <w:p w14:paraId="1724A03E" w14:textId="77777777" w:rsidR="00B3381F" w:rsidRPr="00B3381F" w:rsidRDefault="00B3381F" w:rsidP="00BC6421">
      <w:pPr>
        <w:pStyle w:val="ListParagraph"/>
        <w:numPr>
          <w:ilvl w:val="0"/>
          <w:numId w:val="17"/>
        </w:numPr>
        <w:ind w:left="360"/>
        <w:jc w:val="both"/>
        <w:rPr>
          <w:sz w:val="20"/>
        </w:rPr>
      </w:pPr>
      <w:r w:rsidRPr="00B3381F">
        <w:rPr>
          <w:sz w:val="20"/>
        </w:rPr>
        <w:t>Acquires facilitative skills for working with individuals, groups and communities towards educational goals.</w:t>
      </w:r>
    </w:p>
    <w:p w14:paraId="73243201" w14:textId="77777777" w:rsidR="00B3381F" w:rsidRDefault="00B3381F" w:rsidP="00B3381F">
      <w:pPr>
        <w:jc w:val="both"/>
        <w:rPr>
          <w:sz w:val="20"/>
        </w:rPr>
      </w:pPr>
    </w:p>
    <w:p w14:paraId="4E9F3524" w14:textId="77777777" w:rsidR="00B3381F" w:rsidRPr="008B4DA8" w:rsidRDefault="00B3381F" w:rsidP="00B3381F">
      <w:pPr>
        <w:jc w:val="both"/>
        <w:rPr>
          <w:sz w:val="20"/>
        </w:rPr>
      </w:pPr>
    </w:p>
    <w:p w14:paraId="4CC68BC1" w14:textId="77777777" w:rsidR="00B3381F" w:rsidRPr="00B3381F" w:rsidRDefault="00B3381F" w:rsidP="00BC6421">
      <w:pPr>
        <w:pStyle w:val="ListParagraph"/>
        <w:numPr>
          <w:ilvl w:val="0"/>
          <w:numId w:val="17"/>
        </w:numPr>
        <w:ind w:left="360"/>
        <w:jc w:val="both"/>
        <w:rPr>
          <w:sz w:val="20"/>
        </w:rPr>
      </w:pPr>
      <w:r w:rsidRPr="00B3381F">
        <w:rPr>
          <w:sz w:val="20"/>
        </w:rPr>
        <w:t>Develops a wide range of personal qualities appropriate to the professional youth and community worker, for example, integrity, sensitivity, openness and resilience.</w:t>
      </w:r>
    </w:p>
    <w:p w14:paraId="77EC579B" w14:textId="77777777" w:rsidR="00B3381F" w:rsidRPr="008B4DA8" w:rsidRDefault="00B3381F" w:rsidP="00B3381F">
      <w:pPr>
        <w:jc w:val="both"/>
        <w:rPr>
          <w:sz w:val="20"/>
        </w:rPr>
      </w:pPr>
    </w:p>
    <w:p w14:paraId="40E9D61C" w14:textId="77777777" w:rsidR="00B3381F" w:rsidRPr="00B3381F" w:rsidRDefault="00B3381F" w:rsidP="00BC6421">
      <w:pPr>
        <w:pStyle w:val="ListParagraph"/>
        <w:numPr>
          <w:ilvl w:val="0"/>
          <w:numId w:val="17"/>
        </w:numPr>
        <w:ind w:left="360"/>
        <w:jc w:val="both"/>
        <w:rPr>
          <w:sz w:val="20"/>
        </w:rPr>
      </w:pPr>
      <w:r w:rsidRPr="00B3381F">
        <w:rPr>
          <w:sz w:val="20"/>
        </w:rPr>
        <w:t>Employs time management skills and works to deadlines effectively.</w:t>
      </w:r>
    </w:p>
    <w:p w14:paraId="65C7D34D" w14:textId="77777777" w:rsidR="00B3381F" w:rsidRPr="008B4DA8" w:rsidRDefault="00B3381F" w:rsidP="00B3381F">
      <w:pPr>
        <w:jc w:val="both"/>
        <w:rPr>
          <w:sz w:val="20"/>
        </w:rPr>
      </w:pPr>
    </w:p>
    <w:p w14:paraId="6BBBD118" w14:textId="1F026675" w:rsidR="00B3381F" w:rsidRPr="00B3381F" w:rsidRDefault="00B3381F" w:rsidP="00BC6421">
      <w:pPr>
        <w:pStyle w:val="ListParagraph"/>
        <w:numPr>
          <w:ilvl w:val="0"/>
          <w:numId w:val="17"/>
        </w:numPr>
        <w:ind w:left="360"/>
        <w:jc w:val="both"/>
        <w:rPr>
          <w:sz w:val="20"/>
        </w:rPr>
      </w:pPr>
      <w:r w:rsidRPr="00B3381F">
        <w:rPr>
          <w:sz w:val="20"/>
        </w:rPr>
        <w:t>Understands and uses the University’s approved referencing system referencing system and is able to construct an accurate bibliography.</w:t>
      </w:r>
    </w:p>
    <w:p w14:paraId="3A21584B" w14:textId="77777777" w:rsidR="00B3381F" w:rsidRPr="00B3381F" w:rsidRDefault="00B3381F" w:rsidP="00B3381F">
      <w:pPr>
        <w:jc w:val="both"/>
        <w:rPr>
          <w:sz w:val="20"/>
        </w:rPr>
      </w:pPr>
    </w:p>
    <w:p w14:paraId="4085A866" w14:textId="77777777" w:rsidR="00B3381F" w:rsidRDefault="00B3381F" w:rsidP="00B3381F">
      <w:pPr>
        <w:pStyle w:val="Footer"/>
        <w:jc w:val="both"/>
        <w:rPr>
          <w:sz w:val="20"/>
        </w:rPr>
      </w:pPr>
    </w:p>
    <w:p w14:paraId="487CB086" w14:textId="77777777" w:rsidR="00B3381F" w:rsidRDefault="00B3381F" w:rsidP="00B3381F">
      <w:pPr>
        <w:pStyle w:val="Footer"/>
        <w:jc w:val="both"/>
        <w:rPr>
          <w:sz w:val="20"/>
        </w:rPr>
      </w:pPr>
    </w:p>
    <w:p w14:paraId="25E11D2D" w14:textId="2AA3B207" w:rsidR="00C25C7D" w:rsidRPr="00B3381F" w:rsidRDefault="00C25C7D" w:rsidP="00B3381F">
      <w:pPr>
        <w:pStyle w:val="Heading1"/>
      </w:pPr>
      <w:r w:rsidRPr="00B3381F">
        <w:t>COURSE STRUCTURES AND REQUIREMENTS, LEVELS, MODULES, CREDITS AND AWARDS</w:t>
      </w:r>
    </w:p>
    <w:p w14:paraId="482906BD" w14:textId="77777777" w:rsidR="00C25C7D" w:rsidRPr="008B4DA8" w:rsidRDefault="00C25C7D" w:rsidP="00360FB0">
      <w:pPr>
        <w:jc w:val="both"/>
        <w:rPr>
          <w:sz w:val="20"/>
        </w:rPr>
      </w:pPr>
    </w:p>
    <w:p w14:paraId="68F44DC2" w14:textId="77777777" w:rsidR="00C25C7D" w:rsidRPr="008B4DA8" w:rsidRDefault="00C25C7D" w:rsidP="00360FB0">
      <w:pPr>
        <w:jc w:val="both"/>
        <w:rPr>
          <w:sz w:val="20"/>
        </w:rPr>
      </w:pPr>
      <w:r w:rsidRPr="008B4DA8">
        <w:rPr>
          <w:sz w:val="20"/>
        </w:rPr>
        <w:t xml:space="preserve">The award comprises 360 credits: 120 Foundation level credits, 120 Intermediate level credits and 120 Honours level credits. Foundation and Intermediate level modules are 30 credits. Honours level also includes one 20 and one 40 credit module. </w:t>
      </w:r>
    </w:p>
    <w:p w14:paraId="7F580827" w14:textId="77777777" w:rsidR="00C25C7D" w:rsidRPr="008B4DA8" w:rsidRDefault="00C25C7D" w:rsidP="00360FB0">
      <w:pPr>
        <w:jc w:val="both"/>
        <w:rPr>
          <w:sz w:val="20"/>
        </w:rPr>
      </w:pPr>
    </w:p>
    <w:p w14:paraId="6F3DC9F5" w14:textId="77777777" w:rsidR="00C25C7D" w:rsidRPr="008B4DA8" w:rsidRDefault="00C25C7D" w:rsidP="00360FB0">
      <w:pPr>
        <w:jc w:val="both"/>
        <w:rPr>
          <w:sz w:val="20"/>
        </w:rPr>
      </w:pPr>
      <w:r w:rsidRPr="008B4DA8">
        <w:rPr>
          <w:sz w:val="20"/>
        </w:rPr>
        <w:t xml:space="preserve">Each compulsory module contributes to meeting Units of the National Occupational Standards for Youth Work. At intermediate level students select one thirty credit module from a list of options. </w:t>
      </w:r>
    </w:p>
    <w:p w14:paraId="3079BDB5" w14:textId="77777777" w:rsidR="00C25C7D" w:rsidRPr="008B4DA8" w:rsidRDefault="00C25C7D" w:rsidP="00360FB0">
      <w:pPr>
        <w:jc w:val="both"/>
        <w:rPr>
          <w:sz w:val="20"/>
        </w:rPr>
      </w:pPr>
    </w:p>
    <w:p w14:paraId="496F8C6A" w14:textId="77777777" w:rsidR="00C25C7D" w:rsidRPr="008B4DA8" w:rsidRDefault="00C25C7D" w:rsidP="00360FB0">
      <w:pPr>
        <w:jc w:val="both"/>
        <w:rPr>
          <w:sz w:val="20"/>
        </w:rPr>
      </w:pPr>
      <w:r w:rsidRPr="008B4DA8">
        <w:rPr>
          <w:sz w:val="20"/>
        </w:rPr>
        <w:t xml:space="preserve">All modules linked to fieldwork practice are compulsory which means that all students on the BA YCW must complete the module and must pass all assessed items contributing to the module and the module cannot be condoned. Other modules, identified as ‘core’, must be taken by all BA YCW students. These modules are available for condonement. At intermediate level students have the opportunity to select their choice of option module. These modules are available for condonement.  </w:t>
      </w:r>
    </w:p>
    <w:p w14:paraId="576A992C" w14:textId="77777777" w:rsidR="00C25C7D" w:rsidRPr="008B4DA8" w:rsidRDefault="00C25C7D" w:rsidP="00360FB0">
      <w:pPr>
        <w:jc w:val="both"/>
        <w:rPr>
          <w:sz w:val="20"/>
        </w:rPr>
      </w:pPr>
    </w:p>
    <w:p w14:paraId="2F82FE95" w14:textId="77777777" w:rsidR="00C25C7D" w:rsidRPr="008B4DA8" w:rsidRDefault="00C25C7D" w:rsidP="00360FB0">
      <w:pPr>
        <w:jc w:val="both"/>
        <w:rPr>
          <w:sz w:val="20"/>
        </w:rPr>
      </w:pPr>
      <w:r w:rsidRPr="008B4DA8">
        <w:rPr>
          <w:sz w:val="20"/>
        </w:rPr>
        <w:t xml:space="preserve">Part-time In-Service Students complete 90 credits in each academic year. Permission for students to study 90 credits </w:t>
      </w:r>
      <w:r w:rsidR="00AF51B2">
        <w:rPr>
          <w:sz w:val="20"/>
        </w:rPr>
        <w:t>was</w:t>
      </w:r>
      <w:r w:rsidRPr="008B4DA8">
        <w:rPr>
          <w:sz w:val="20"/>
        </w:rPr>
        <w:t xml:space="preserve"> agreed by the Pro-Vice Chancellor (Teaching and Learning)</w:t>
      </w:r>
      <w:r w:rsidR="00AF51B2">
        <w:rPr>
          <w:sz w:val="20"/>
        </w:rPr>
        <w:t xml:space="preserve"> in 2010</w:t>
      </w:r>
      <w:r w:rsidRPr="008B4DA8">
        <w:rPr>
          <w:sz w:val="20"/>
        </w:rPr>
        <w:t xml:space="preserve">. During years two and three students are studying modules at different levels at the same time. </w:t>
      </w:r>
    </w:p>
    <w:p w14:paraId="4F6D6C8D" w14:textId="77777777" w:rsidR="00C25C7D" w:rsidRPr="008B4DA8" w:rsidRDefault="00C25C7D" w:rsidP="00360FB0">
      <w:pPr>
        <w:jc w:val="both"/>
        <w:rPr>
          <w:sz w:val="20"/>
        </w:rPr>
      </w:pPr>
    </w:p>
    <w:p w14:paraId="33EA2F92" w14:textId="77777777" w:rsidR="00C25C7D" w:rsidRPr="008B4DA8" w:rsidRDefault="00C25C7D" w:rsidP="00360FB0">
      <w:pPr>
        <w:jc w:val="both"/>
        <w:rPr>
          <w:sz w:val="20"/>
        </w:rPr>
      </w:pPr>
      <w:r w:rsidRPr="008B4DA8">
        <w:rPr>
          <w:sz w:val="20"/>
        </w:rPr>
        <w:t>Year 1:   90 credits @ Foundation level</w:t>
      </w:r>
    </w:p>
    <w:p w14:paraId="3A2FBF6B" w14:textId="77777777" w:rsidR="00C25C7D" w:rsidRPr="008B4DA8" w:rsidRDefault="00C25C7D" w:rsidP="00360FB0">
      <w:pPr>
        <w:jc w:val="both"/>
        <w:rPr>
          <w:sz w:val="20"/>
        </w:rPr>
      </w:pPr>
      <w:r w:rsidRPr="008B4DA8">
        <w:rPr>
          <w:sz w:val="20"/>
        </w:rPr>
        <w:t>Year 2:   30 credits @ Foundation level and 60 credits @ Intermediate level</w:t>
      </w:r>
    </w:p>
    <w:p w14:paraId="54CF3B5E" w14:textId="77777777" w:rsidR="00C25C7D" w:rsidRPr="008B4DA8" w:rsidRDefault="00C25C7D" w:rsidP="00360FB0">
      <w:pPr>
        <w:jc w:val="both"/>
        <w:rPr>
          <w:sz w:val="20"/>
        </w:rPr>
      </w:pPr>
      <w:r w:rsidRPr="008B4DA8">
        <w:rPr>
          <w:sz w:val="20"/>
        </w:rPr>
        <w:t>Year 3:   60 credits @ Intermediate level and 30 credits at Honours level</w:t>
      </w:r>
    </w:p>
    <w:p w14:paraId="2D257AA3" w14:textId="77777777" w:rsidR="00C25C7D" w:rsidRPr="008B4DA8" w:rsidRDefault="00C25C7D" w:rsidP="00360FB0">
      <w:pPr>
        <w:jc w:val="both"/>
        <w:rPr>
          <w:sz w:val="20"/>
        </w:rPr>
      </w:pPr>
      <w:r w:rsidRPr="008B4DA8">
        <w:rPr>
          <w:sz w:val="20"/>
        </w:rPr>
        <w:t>Year 4:   90 credits @ Honours level</w:t>
      </w:r>
    </w:p>
    <w:p w14:paraId="11DE91DD" w14:textId="77777777" w:rsidR="00C25C7D" w:rsidRPr="008B4DA8" w:rsidRDefault="00C25C7D" w:rsidP="00360FB0">
      <w:pPr>
        <w:jc w:val="both"/>
        <w:rPr>
          <w:sz w:val="20"/>
        </w:rPr>
      </w:pPr>
    </w:p>
    <w:p w14:paraId="228E8C2D" w14:textId="77777777" w:rsidR="00C25C7D" w:rsidRPr="008B4DA8" w:rsidRDefault="00C25C7D" w:rsidP="00360FB0">
      <w:pPr>
        <w:jc w:val="both"/>
        <w:rPr>
          <w:sz w:val="20"/>
        </w:rPr>
      </w:pPr>
      <w:r w:rsidRPr="008B4DA8">
        <w:rPr>
          <w:sz w:val="20"/>
        </w:rPr>
        <w:t>Attendance at taught sessions and placement is compulsory for all students. At least 80% attendance at taught sessions is required and placement hours must combine to reach the total prescribed by the National Youth Agency (see below).</w:t>
      </w:r>
    </w:p>
    <w:p w14:paraId="51A4595D" w14:textId="77777777" w:rsidR="00C25C7D" w:rsidRPr="008B4DA8" w:rsidRDefault="00C25C7D" w:rsidP="00360FB0">
      <w:pPr>
        <w:jc w:val="both"/>
        <w:rPr>
          <w:sz w:val="20"/>
        </w:rPr>
      </w:pPr>
    </w:p>
    <w:p w14:paraId="29051569" w14:textId="77777777" w:rsidR="00C25C7D" w:rsidRPr="008B4DA8" w:rsidRDefault="00C25C7D" w:rsidP="00360FB0">
      <w:pPr>
        <w:pStyle w:val="BodyText2"/>
        <w:jc w:val="both"/>
        <w:rPr>
          <w:sz w:val="20"/>
        </w:rPr>
      </w:pPr>
      <w:r w:rsidRPr="008B4DA8">
        <w:rPr>
          <w:sz w:val="20"/>
        </w:rPr>
        <w:t>Distinctive Features (full-time Students):</w:t>
      </w:r>
    </w:p>
    <w:p w14:paraId="431321B4" w14:textId="77777777" w:rsidR="00C25C7D" w:rsidRPr="008B4DA8" w:rsidRDefault="00C25C7D" w:rsidP="00360FB0">
      <w:pPr>
        <w:pStyle w:val="BodyText2"/>
        <w:jc w:val="both"/>
        <w:rPr>
          <w:sz w:val="20"/>
        </w:rPr>
      </w:pPr>
    </w:p>
    <w:p w14:paraId="5000D7F2" w14:textId="77777777" w:rsidR="00C25C7D" w:rsidRDefault="00C25C7D" w:rsidP="00360FB0">
      <w:pPr>
        <w:jc w:val="both"/>
        <w:rPr>
          <w:sz w:val="20"/>
        </w:rPr>
      </w:pPr>
      <w:r w:rsidRPr="008B4DA8">
        <w:rPr>
          <w:sz w:val="20"/>
        </w:rPr>
        <w:t xml:space="preserve">Students attend University alongside fieldwork placements in youth and community work agencies. Placements follow a set pattern each week </w:t>
      </w:r>
      <w:r w:rsidR="00B31399">
        <w:rPr>
          <w:sz w:val="20"/>
        </w:rPr>
        <w:t>with placements starting during the first term:</w:t>
      </w:r>
    </w:p>
    <w:p w14:paraId="4B694BC9" w14:textId="77777777" w:rsidR="00B31399" w:rsidRDefault="00B31399" w:rsidP="00360FB0">
      <w:pPr>
        <w:jc w:val="both"/>
        <w:rPr>
          <w:sz w:val="20"/>
        </w:rPr>
      </w:pPr>
      <w:r>
        <w:rPr>
          <w:sz w:val="20"/>
        </w:rPr>
        <w:t>Week 7: First year students’ placements normally start</w:t>
      </w:r>
    </w:p>
    <w:p w14:paraId="218D34F0" w14:textId="77777777" w:rsidR="00B31399" w:rsidRDefault="00B31399" w:rsidP="00360FB0">
      <w:pPr>
        <w:jc w:val="both"/>
        <w:rPr>
          <w:sz w:val="20"/>
        </w:rPr>
      </w:pPr>
      <w:r>
        <w:rPr>
          <w:sz w:val="20"/>
        </w:rPr>
        <w:t>Week 4: Second year students’ placements normally start</w:t>
      </w:r>
    </w:p>
    <w:p w14:paraId="4134A9A3" w14:textId="77777777" w:rsidR="00B31399" w:rsidRPr="008B4DA8" w:rsidRDefault="00B31399" w:rsidP="00360FB0">
      <w:pPr>
        <w:jc w:val="both"/>
        <w:rPr>
          <w:sz w:val="20"/>
        </w:rPr>
      </w:pPr>
      <w:r>
        <w:rPr>
          <w:sz w:val="20"/>
        </w:rPr>
        <w:t>Week 1: Final year students’ placements normally start</w:t>
      </w:r>
    </w:p>
    <w:p w14:paraId="1C5CB2E0" w14:textId="77777777" w:rsidR="00C25C7D" w:rsidRPr="000D58DE" w:rsidRDefault="00C25C7D" w:rsidP="00BC6421">
      <w:pPr>
        <w:numPr>
          <w:ilvl w:val="0"/>
          <w:numId w:val="16"/>
        </w:numPr>
        <w:jc w:val="both"/>
        <w:rPr>
          <w:rFonts w:cs="Arial"/>
        </w:rPr>
      </w:pPr>
      <w:r w:rsidRPr="000D58DE">
        <w:rPr>
          <w:sz w:val="20"/>
        </w:rPr>
        <w:t>Fir</w:t>
      </w:r>
      <w:r w:rsidRPr="008B4DA8">
        <w:rPr>
          <w:sz w:val="20"/>
        </w:rPr>
        <w:t>st year students are on placement for 12 hours per week for 25 weeks. This gives a total of 300 hours. During the 18 teaching weeks included in this period students attend taught sessions at University for 2 days per week (12 hours per week</w:t>
      </w:r>
      <w:r w:rsidRPr="000D58DE">
        <w:rPr>
          <w:sz w:val="20"/>
        </w:rPr>
        <w:t xml:space="preserve">). </w:t>
      </w:r>
      <w:r w:rsidR="00E96408" w:rsidRPr="000D58DE">
        <w:rPr>
          <w:rFonts w:cs="Arial"/>
          <w:sz w:val="20"/>
        </w:rPr>
        <w:t>At least 50% of the placement will be spent in direct engagement with young people aged 13 – 19. The rest of the placement will be spent on youth work related activity that contributes to reflective practice and professional formation.</w:t>
      </w:r>
    </w:p>
    <w:p w14:paraId="2B46FAFE" w14:textId="77777777" w:rsidR="00C25C7D" w:rsidRPr="008B4DA8" w:rsidRDefault="00C25C7D" w:rsidP="00360FB0">
      <w:pPr>
        <w:jc w:val="both"/>
        <w:rPr>
          <w:sz w:val="20"/>
        </w:rPr>
      </w:pPr>
    </w:p>
    <w:p w14:paraId="5D179DEA" w14:textId="77777777" w:rsidR="00C25C7D" w:rsidRPr="000D58DE" w:rsidRDefault="00C25C7D" w:rsidP="00BC6421">
      <w:pPr>
        <w:numPr>
          <w:ilvl w:val="0"/>
          <w:numId w:val="3"/>
        </w:numPr>
        <w:jc w:val="both"/>
        <w:rPr>
          <w:sz w:val="20"/>
        </w:rPr>
      </w:pPr>
      <w:r w:rsidRPr="008B4DA8">
        <w:rPr>
          <w:sz w:val="20"/>
        </w:rPr>
        <w:lastRenderedPageBreak/>
        <w:t xml:space="preserve">Second year students are on placement for 15 hours per week for </w:t>
      </w:r>
      <w:r w:rsidR="009F567A" w:rsidRPr="008B4DA8">
        <w:rPr>
          <w:sz w:val="20"/>
        </w:rPr>
        <w:t>2</w:t>
      </w:r>
      <w:r w:rsidR="009F567A">
        <w:rPr>
          <w:sz w:val="20"/>
        </w:rPr>
        <w:t>0</w:t>
      </w:r>
      <w:r w:rsidR="009F567A" w:rsidRPr="008B4DA8">
        <w:rPr>
          <w:sz w:val="20"/>
        </w:rPr>
        <w:t xml:space="preserve"> </w:t>
      </w:r>
      <w:r w:rsidRPr="008B4DA8">
        <w:rPr>
          <w:sz w:val="20"/>
        </w:rPr>
        <w:t xml:space="preserve">weeks. This gives a total of </w:t>
      </w:r>
      <w:r w:rsidR="009F567A" w:rsidRPr="008B4DA8">
        <w:rPr>
          <w:sz w:val="20"/>
        </w:rPr>
        <w:t>3</w:t>
      </w:r>
      <w:r w:rsidR="009F567A">
        <w:rPr>
          <w:sz w:val="20"/>
        </w:rPr>
        <w:t>0</w:t>
      </w:r>
      <w:r w:rsidR="009F567A" w:rsidRPr="008B4DA8">
        <w:rPr>
          <w:sz w:val="20"/>
        </w:rPr>
        <w:t xml:space="preserve">0 </w:t>
      </w:r>
      <w:r w:rsidRPr="008B4DA8">
        <w:rPr>
          <w:sz w:val="20"/>
        </w:rPr>
        <w:t>hours. During the 18 teaching weeks included in this period students attend taught sessions at University for 2 days per week (12 hours per week).</w:t>
      </w:r>
      <w:r w:rsidR="009F567A">
        <w:rPr>
          <w:sz w:val="20"/>
        </w:rPr>
        <w:t xml:space="preserve"> </w:t>
      </w:r>
      <w:r w:rsidR="009F567A" w:rsidRPr="000D58DE">
        <w:rPr>
          <w:rFonts w:cs="Arial"/>
          <w:sz w:val="20"/>
        </w:rPr>
        <w:t>At least 50% of the placement will be spent in direct engagement with young people aged 13 – 19. The rest of the placement will be spent on youth work related activity that contributes to reflective practice and professional formation.</w:t>
      </w:r>
    </w:p>
    <w:p w14:paraId="6E120A53" w14:textId="77777777" w:rsidR="00C25C7D" w:rsidRPr="008B4DA8" w:rsidRDefault="00C25C7D" w:rsidP="00360FB0">
      <w:pPr>
        <w:jc w:val="both"/>
        <w:rPr>
          <w:sz w:val="20"/>
        </w:rPr>
      </w:pPr>
    </w:p>
    <w:p w14:paraId="4522F6B5" w14:textId="77777777" w:rsidR="00C25C7D" w:rsidRPr="008B4DA8" w:rsidRDefault="00C25C7D" w:rsidP="00BC6421">
      <w:pPr>
        <w:numPr>
          <w:ilvl w:val="0"/>
          <w:numId w:val="3"/>
        </w:numPr>
        <w:jc w:val="both"/>
        <w:rPr>
          <w:sz w:val="20"/>
        </w:rPr>
      </w:pPr>
      <w:r w:rsidRPr="008B4DA8">
        <w:rPr>
          <w:sz w:val="20"/>
        </w:rPr>
        <w:t xml:space="preserve">Third year students are on placement for 15 hours per week for </w:t>
      </w:r>
      <w:r w:rsidR="002E4A5D" w:rsidRPr="008B4DA8">
        <w:rPr>
          <w:sz w:val="20"/>
        </w:rPr>
        <w:t>1</w:t>
      </w:r>
      <w:r w:rsidR="002E4A5D">
        <w:rPr>
          <w:sz w:val="20"/>
        </w:rPr>
        <w:t>4</w:t>
      </w:r>
      <w:r w:rsidRPr="008B4DA8">
        <w:rPr>
          <w:sz w:val="20"/>
        </w:rPr>
        <w:t xml:space="preserve">weeks. This gives a total of </w:t>
      </w:r>
      <w:r w:rsidR="002E4A5D" w:rsidRPr="008B4DA8">
        <w:rPr>
          <w:sz w:val="20"/>
        </w:rPr>
        <w:t>2</w:t>
      </w:r>
      <w:r w:rsidR="002E4A5D">
        <w:rPr>
          <w:sz w:val="20"/>
        </w:rPr>
        <w:t>1</w:t>
      </w:r>
      <w:r w:rsidR="002E4A5D" w:rsidRPr="008B4DA8">
        <w:rPr>
          <w:sz w:val="20"/>
        </w:rPr>
        <w:t xml:space="preserve">0 </w:t>
      </w:r>
      <w:r w:rsidRPr="008B4DA8">
        <w:rPr>
          <w:sz w:val="20"/>
        </w:rPr>
        <w:t xml:space="preserve">hours. During teaching weeks, students attend taught sessions at University for between 8 and 12 hours per week. </w:t>
      </w:r>
    </w:p>
    <w:p w14:paraId="695F4E99" w14:textId="77777777" w:rsidR="00C25C7D" w:rsidRPr="008B4DA8" w:rsidRDefault="00C25C7D" w:rsidP="00360FB0">
      <w:pPr>
        <w:jc w:val="both"/>
        <w:rPr>
          <w:sz w:val="20"/>
        </w:rPr>
      </w:pPr>
    </w:p>
    <w:p w14:paraId="0857436A" w14:textId="77777777" w:rsidR="00C25C7D" w:rsidRPr="008B4DA8" w:rsidRDefault="00C25C7D" w:rsidP="00360FB0">
      <w:pPr>
        <w:jc w:val="both"/>
        <w:rPr>
          <w:sz w:val="20"/>
        </w:rPr>
      </w:pPr>
      <w:r w:rsidRPr="008B4DA8">
        <w:rPr>
          <w:sz w:val="20"/>
        </w:rPr>
        <w:t xml:space="preserve">Over the course of the BA (Hons) Youth and Community Work students complete a total of </w:t>
      </w:r>
      <w:r w:rsidR="002E4A5D" w:rsidRPr="008B4DA8">
        <w:rPr>
          <w:sz w:val="20"/>
        </w:rPr>
        <w:t>8</w:t>
      </w:r>
      <w:r w:rsidR="002E4A5D">
        <w:rPr>
          <w:sz w:val="20"/>
        </w:rPr>
        <w:t>1</w:t>
      </w:r>
      <w:r w:rsidR="002E4A5D" w:rsidRPr="008B4DA8">
        <w:rPr>
          <w:sz w:val="20"/>
        </w:rPr>
        <w:t xml:space="preserve">0 </w:t>
      </w:r>
      <w:r w:rsidRPr="008B4DA8">
        <w:rPr>
          <w:sz w:val="20"/>
        </w:rPr>
        <w:t xml:space="preserve">hours on placement, normally at a total of 3 fieldwork settings with 3 Fieldwork Supervisors. </w:t>
      </w:r>
      <w:r w:rsidR="002E4A5D">
        <w:rPr>
          <w:sz w:val="20"/>
        </w:rPr>
        <w:t>Some</w:t>
      </w:r>
      <w:r w:rsidRPr="008B4DA8">
        <w:rPr>
          <w:sz w:val="20"/>
        </w:rPr>
        <w:t xml:space="preserve"> students </w:t>
      </w:r>
      <w:r w:rsidR="00336DE0">
        <w:rPr>
          <w:sz w:val="20"/>
        </w:rPr>
        <w:t>may</w:t>
      </w:r>
      <w:r w:rsidR="000D58DE">
        <w:rPr>
          <w:sz w:val="20"/>
        </w:rPr>
        <w:t xml:space="preserve"> </w:t>
      </w:r>
      <w:r w:rsidRPr="008B4DA8">
        <w:rPr>
          <w:sz w:val="20"/>
        </w:rPr>
        <w:t xml:space="preserve">return to the location of their first or second year placement for their third year. </w:t>
      </w:r>
    </w:p>
    <w:p w14:paraId="16C1E857" w14:textId="77777777" w:rsidR="00C25C7D" w:rsidRPr="008B4DA8" w:rsidRDefault="00C25C7D" w:rsidP="00360FB0">
      <w:pPr>
        <w:jc w:val="both"/>
        <w:rPr>
          <w:sz w:val="20"/>
        </w:rPr>
      </w:pPr>
    </w:p>
    <w:tbl>
      <w:tblPr>
        <w:tblW w:w="898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4"/>
      </w:tblGrid>
      <w:tr w:rsidR="00C25C7D" w:rsidRPr="008B4DA8" w14:paraId="40D7D61A" w14:textId="77777777" w:rsidTr="000D58DE">
        <w:trPr>
          <w:trHeight w:val="3513"/>
        </w:trPr>
        <w:tc>
          <w:tcPr>
            <w:tcW w:w="8984" w:type="dxa"/>
          </w:tcPr>
          <w:p w14:paraId="27FB193D" w14:textId="77777777" w:rsidR="00C25C7D" w:rsidRPr="008B4DA8" w:rsidRDefault="00C25C7D" w:rsidP="00360FB0">
            <w:pPr>
              <w:ind w:left="195"/>
              <w:jc w:val="both"/>
              <w:rPr>
                <w:b/>
                <w:sz w:val="20"/>
              </w:rPr>
            </w:pPr>
          </w:p>
          <w:p w14:paraId="67040583" w14:textId="0E2EA992" w:rsidR="00C25C7D" w:rsidRPr="008B4DA8" w:rsidRDefault="005B6895" w:rsidP="00360FB0">
            <w:pPr>
              <w:ind w:left="195"/>
              <w:jc w:val="both"/>
              <w:rPr>
                <w:b/>
                <w:sz w:val="20"/>
              </w:rPr>
            </w:pPr>
            <w:r w:rsidRPr="008B4DA8">
              <w:rPr>
                <w:b/>
                <w:noProof/>
                <w:sz w:val="20"/>
              </w:rPr>
              <mc:AlternateContent>
                <mc:Choice Requires="wps">
                  <w:drawing>
                    <wp:anchor distT="0" distB="0" distL="114300" distR="114300" simplePos="0" relativeHeight="251652608" behindDoc="0" locked="0" layoutInCell="1" allowOverlap="1" wp14:anchorId="24E9FD8F" wp14:editId="077AD449">
                      <wp:simplePos x="0" y="0"/>
                      <wp:positionH relativeFrom="column">
                        <wp:posOffset>3495675</wp:posOffset>
                      </wp:positionH>
                      <wp:positionV relativeFrom="paragraph">
                        <wp:posOffset>257175</wp:posOffset>
                      </wp:positionV>
                      <wp:extent cx="2000250" cy="1762125"/>
                      <wp:effectExtent l="0" t="0" r="0" b="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62125"/>
                              </a:xfrm>
                              <a:prstGeom prst="rect">
                                <a:avLst/>
                              </a:prstGeom>
                              <a:solidFill>
                                <a:srgbClr val="FFFFFF"/>
                              </a:solidFill>
                              <a:ln w="9525">
                                <a:solidFill>
                                  <a:srgbClr val="000000"/>
                                </a:solidFill>
                                <a:miter lim="800000"/>
                                <a:headEnd/>
                                <a:tailEnd/>
                              </a:ln>
                            </wps:spPr>
                            <wps:txbx>
                              <w:txbxContent>
                                <w:p w14:paraId="39372009" w14:textId="77777777" w:rsidR="00C25C7D" w:rsidRPr="00ED24A3" w:rsidRDefault="00C25C7D" w:rsidP="00C25C7D">
                                  <w:pPr>
                                    <w:contextualSpacing/>
                                    <w:rPr>
                                      <w:b/>
                                      <w:sz w:val="20"/>
                                    </w:rPr>
                                  </w:pPr>
                                  <w:r w:rsidRPr="00ED24A3">
                                    <w:rPr>
                                      <w:b/>
                                      <w:sz w:val="20"/>
                                    </w:rPr>
                                    <w:t>Progression requirements</w:t>
                                  </w:r>
                                </w:p>
                                <w:p w14:paraId="12D4D330" w14:textId="77777777" w:rsidR="00C25C7D" w:rsidRDefault="00C25C7D" w:rsidP="00C25C7D">
                                  <w:pPr>
                                    <w:contextualSpacing/>
                                    <w:rPr>
                                      <w:sz w:val="20"/>
                                    </w:rPr>
                                  </w:pPr>
                                  <w:r>
                                    <w:rPr>
                                      <w:sz w:val="20"/>
                                    </w:rPr>
                                    <w:t>A minimum of 90 credits for progressions</w:t>
                                  </w:r>
                                </w:p>
                                <w:p w14:paraId="09B68AB8" w14:textId="77777777" w:rsidR="00C25C7D" w:rsidRDefault="00C25C7D" w:rsidP="00C25C7D">
                                  <w:pPr>
                                    <w:contextualSpacing/>
                                    <w:rPr>
                                      <w:sz w:val="20"/>
                                    </w:rPr>
                                  </w:pPr>
                                </w:p>
                                <w:p w14:paraId="3AF463C0" w14:textId="77777777" w:rsidR="00C25C7D" w:rsidRDefault="00C25C7D" w:rsidP="00C25C7D">
                                  <w:pPr>
                                    <w:contextualSpacing/>
                                    <w:rPr>
                                      <w:sz w:val="20"/>
                                    </w:rPr>
                                  </w:pPr>
                                  <w:r>
                                    <w:rPr>
                                      <w:sz w:val="20"/>
                                    </w:rPr>
                                    <w:t>A minimum of 120 credits for the award of Certificate in Higher Education (this is an academic qualification and does not provide any form of vocational qualification) (unnamed).</w:t>
                                  </w:r>
                                </w:p>
                                <w:p w14:paraId="4CA38B59" w14:textId="77777777" w:rsidR="00C25C7D" w:rsidRPr="00F055B4"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9FD8F" id="_x0000_t202" coordsize="21600,21600" o:spt="202" path="m,l,21600r21600,l21600,xe">
                      <v:stroke joinstyle="miter"/>
                      <v:path gradientshapeok="t" o:connecttype="rect"/>
                    </v:shapetype>
                    <v:shape id="Text Box 77" o:spid="_x0000_s1026" type="#_x0000_t202" style="position:absolute;left:0;text-align:left;margin-left:275.25pt;margin-top:20.25pt;width:157.5pt;height:13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">
                      <v:textbox>
                        <w:txbxContent>
                          <w:p w14:paraId="39372009" w14:textId="77777777" w:rsidR="00C25C7D" w:rsidRPr="00ED24A3" w:rsidRDefault="00C25C7D" w:rsidP="00C25C7D">
                            <w:pPr>
                              <w:contextualSpacing/>
                              <w:rPr>
                                <w:b/>
                                <w:sz w:val="20"/>
                              </w:rPr>
                            </w:pPr>
                            <w:r w:rsidRPr="00ED24A3">
                              <w:rPr>
                                <w:b/>
                                <w:sz w:val="20"/>
                              </w:rPr>
                              <w:t>Progression requirements</w:t>
                            </w:r>
                          </w:p>
                          <w:p w14:paraId="12D4D330" w14:textId="77777777" w:rsidR="00C25C7D" w:rsidRDefault="00C25C7D" w:rsidP="00C25C7D">
                            <w:pPr>
                              <w:contextualSpacing/>
                              <w:rPr>
                                <w:sz w:val="20"/>
                              </w:rPr>
                            </w:pPr>
                            <w:r>
                              <w:rPr>
                                <w:sz w:val="20"/>
                              </w:rPr>
                              <w:t>A minimum of 90 credits for progressions</w:t>
                            </w:r>
                          </w:p>
                          <w:p w14:paraId="09B68AB8" w14:textId="77777777" w:rsidR="00C25C7D" w:rsidRDefault="00C25C7D" w:rsidP="00C25C7D">
                            <w:pPr>
                              <w:contextualSpacing/>
                              <w:rPr>
                                <w:sz w:val="20"/>
                              </w:rPr>
                            </w:pPr>
                          </w:p>
                          <w:p w14:paraId="3AF463C0" w14:textId="77777777" w:rsidR="00C25C7D" w:rsidRDefault="00C25C7D" w:rsidP="00C25C7D">
                            <w:pPr>
                              <w:contextualSpacing/>
                              <w:rPr>
                                <w:sz w:val="20"/>
                              </w:rPr>
                            </w:pPr>
                            <w:r>
                              <w:rPr>
                                <w:sz w:val="20"/>
                              </w:rPr>
                              <w:t>A minimum of 120 credits for the award of Certificate in Higher Education (this is an academic qualification and does not provide any form of vocational qualification) (unnamed).</w:t>
                            </w:r>
                          </w:p>
                          <w:p w14:paraId="4CA38B59" w14:textId="77777777" w:rsidR="00C25C7D" w:rsidRPr="00F055B4" w:rsidRDefault="00C25C7D" w:rsidP="00C25C7D">
                            <w:pPr>
                              <w:contextualSpacing/>
                              <w:rPr>
                                <w:sz w:val="20"/>
                              </w:rPr>
                            </w:pPr>
                          </w:p>
                        </w:txbxContent>
                      </v:textbox>
                    </v:shape>
                  </w:pict>
                </mc:Fallback>
              </mc:AlternateContent>
            </w:r>
            <w:r w:rsidRPr="008B4DA8">
              <w:rPr>
                <w:b/>
                <w:noProof/>
                <w:sz w:val="20"/>
              </w:rPr>
              <mc:AlternateContent>
                <mc:Choice Requires="wps">
                  <w:drawing>
                    <wp:anchor distT="0" distB="0" distL="114300" distR="114300" simplePos="0" relativeHeight="251651584" behindDoc="0" locked="0" layoutInCell="1" allowOverlap="1" wp14:anchorId="3FB11F41" wp14:editId="704A1A39">
                      <wp:simplePos x="0" y="0"/>
                      <wp:positionH relativeFrom="column">
                        <wp:posOffset>9525</wp:posOffset>
                      </wp:positionH>
                      <wp:positionV relativeFrom="paragraph">
                        <wp:posOffset>257175</wp:posOffset>
                      </wp:positionV>
                      <wp:extent cx="3238500" cy="1447800"/>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47800"/>
                              </a:xfrm>
                              <a:prstGeom prst="rect">
                                <a:avLst/>
                              </a:prstGeom>
                              <a:solidFill>
                                <a:srgbClr val="FFFFFF"/>
                              </a:solidFill>
                              <a:ln w="9525">
                                <a:solidFill>
                                  <a:srgbClr val="000000"/>
                                </a:solidFill>
                                <a:miter lim="800000"/>
                                <a:headEnd/>
                                <a:tailEnd/>
                              </a:ln>
                            </wps:spPr>
                            <wps:txbx>
                              <w:txbxContent>
                                <w:p w14:paraId="78DA38D4" w14:textId="77777777" w:rsidR="00C25C7D" w:rsidRPr="00ED24A3" w:rsidRDefault="00C25C7D" w:rsidP="00C25C7D">
                                  <w:pPr>
                                    <w:contextualSpacing/>
                                    <w:rPr>
                                      <w:b/>
                                      <w:sz w:val="20"/>
                                    </w:rPr>
                                  </w:pPr>
                                  <w:r w:rsidRPr="00ED24A3">
                                    <w:rPr>
                                      <w:b/>
                                      <w:sz w:val="20"/>
                                    </w:rPr>
                                    <w:t>Year Long Modules (compulsory)</w:t>
                                  </w:r>
                                </w:p>
                                <w:p w14:paraId="66C32622" w14:textId="77777777" w:rsidR="00C25C7D" w:rsidRDefault="00C25C7D" w:rsidP="00C25C7D">
                                  <w:pPr>
                                    <w:contextualSpacing/>
                                    <w:rPr>
                                      <w:sz w:val="20"/>
                                    </w:rPr>
                                  </w:pPr>
                                  <w:r>
                                    <w:rPr>
                                      <w:sz w:val="20"/>
                                    </w:rPr>
                                    <w:t>Foundations for Practice (30 credits) DFU1330</w:t>
                                  </w:r>
                                </w:p>
                                <w:p w14:paraId="679ACFC6" w14:textId="77777777" w:rsidR="00C25C7D" w:rsidRDefault="00C25C7D" w:rsidP="00C25C7D">
                                  <w:pPr>
                                    <w:contextualSpacing/>
                                    <w:rPr>
                                      <w:sz w:val="20"/>
                                    </w:rPr>
                                  </w:pPr>
                                </w:p>
                                <w:p w14:paraId="3921CE93" w14:textId="77777777" w:rsidR="00C25C7D" w:rsidRPr="00ED24A3" w:rsidRDefault="00C25C7D" w:rsidP="00C25C7D">
                                  <w:pPr>
                                    <w:contextualSpacing/>
                                    <w:rPr>
                                      <w:b/>
                                      <w:sz w:val="20"/>
                                    </w:rPr>
                                  </w:pPr>
                                  <w:r w:rsidRPr="00ED24A3">
                                    <w:rPr>
                                      <w:b/>
                                      <w:sz w:val="20"/>
                                    </w:rPr>
                                    <w:t>Year Long Modules (core)</w:t>
                                  </w:r>
                                </w:p>
                                <w:p w14:paraId="60FEA99A" w14:textId="77777777" w:rsidR="00C25C7D" w:rsidRDefault="00C25C7D" w:rsidP="00C25C7D">
                                  <w:pPr>
                                    <w:contextualSpacing/>
                                    <w:rPr>
                                      <w:sz w:val="20"/>
                                    </w:rPr>
                                  </w:pPr>
                                  <w:r>
                                    <w:rPr>
                                      <w:sz w:val="20"/>
                                    </w:rPr>
                                    <w:t>Self, Society and Welfare (30 credits) DFM1230</w:t>
                                  </w:r>
                                </w:p>
                                <w:p w14:paraId="24BD6EBC" w14:textId="77777777" w:rsidR="00C25C7D" w:rsidRDefault="00C25C7D" w:rsidP="00C25C7D">
                                  <w:pPr>
                                    <w:contextualSpacing/>
                                    <w:rPr>
                                      <w:sz w:val="20"/>
                                    </w:rPr>
                                  </w:pPr>
                                  <w:r>
                                    <w:rPr>
                                      <w:sz w:val="20"/>
                                    </w:rPr>
                                    <w:t>Perspectives on Learning and Development (30 credits) DFM1130</w:t>
                                  </w:r>
                                </w:p>
                                <w:p w14:paraId="124DEA75" w14:textId="77777777" w:rsidR="00C25C7D" w:rsidRDefault="00C25C7D" w:rsidP="00C25C7D">
                                  <w:pPr>
                                    <w:contextualSpacing/>
                                    <w:rPr>
                                      <w:sz w:val="20"/>
                                    </w:rPr>
                                  </w:pPr>
                                  <w:r>
                                    <w:rPr>
                                      <w:sz w:val="20"/>
                                    </w:rPr>
                                    <w:t>Theories and Strategies for Learning</w:t>
                                  </w:r>
                                  <w:r w:rsidR="00F402B4">
                                    <w:rPr>
                                      <w:sz w:val="20"/>
                                    </w:rPr>
                                    <w:t xml:space="preserve"> </w:t>
                                  </w:r>
                                  <w:r>
                                    <w:rPr>
                                      <w:sz w:val="20"/>
                                    </w:rPr>
                                    <w:t>(30 credits) DFM1030</w:t>
                                  </w:r>
                                </w:p>
                                <w:p w14:paraId="52283AE8" w14:textId="77777777" w:rsidR="00C25C7D" w:rsidRPr="00084353"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F41" id="Text Box 76" o:spid="_x0000_s1027" type="#_x0000_t202" style="position:absolute;left:0;text-align:left;margin-left:.75pt;margin-top:20.25pt;width:255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SiLA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">
                      <v:textbox>
                        <w:txbxContent>
                          <w:p w14:paraId="78DA38D4" w14:textId="77777777" w:rsidR="00C25C7D" w:rsidRPr="00ED24A3" w:rsidRDefault="00C25C7D" w:rsidP="00C25C7D">
                            <w:pPr>
                              <w:contextualSpacing/>
                              <w:rPr>
                                <w:b/>
                                <w:sz w:val="20"/>
                              </w:rPr>
                            </w:pPr>
                            <w:r w:rsidRPr="00ED24A3">
                              <w:rPr>
                                <w:b/>
                                <w:sz w:val="20"/>
                              </w:rPr>
                              <w:t>Year Long Modules (compulsory)</w:t>
                            </w:r>
                          </w:p>
                          <w:p w14:paraId="66C32622" w14:textId="77777777" w:rsidR="00C25C7D" w:rsidRDefault="00C25C7D" w:rsidP="00C25C7D">
                            <w:pPr>
                              <w:contextualSpacing/>
                              <w:rPr>
                                <w:sz w:val="20"/>
                              </w:rPr>
                            </w:pPr>
                            <w:r>
                              <w:rPr>
                                <w:sz w:val="20"/>
                              </w:rPr>
                              <w:t>Foundations for Practice (30 credits) DFU1330</w:t>
                            </w:r>
                          </w:p>
                          <w:p w14:paraId="679ACFC6" w14:textId="77777777" w:rsidR="00C25C7D" w:rsidRDefault="00C25C7D" w:rsidP="00C25C7D">
                            <w:pPr>
                              <w:contextualSpacing/>
                              <w:rPr>
                                <w:sz w:val="20"/>
                              </w:rPr>
                            </w:pPr>
                          </w:p>
                          <w:p w14:paraId="3921CE93" w14:textId="77777777" w:rsidR="00C25C7D" w:rsidRPr="00ED24A3" w:rsidRDefault="00C25C7D" w:rsidP="00C25C7D">
                            <w:pPr>
                              <w:contextualSpacing/>
                              <w:rPr>
                                <w:b/>
                                <w:sz w:val="20"/>
                              </w:rPr>
                            </w:pPr>
                            <w:r w:rsidRPr="00ED24A3">
                              <w:rPr>
                                <w:b/>
                                <w:sz w:val="20"/>
                              </w:rPr>
                              <w:t>Year Long Modules (core)</w:t>
                            </w:r>
                          </w:p>
                          <w:p w14:paraId="60FEA99A" w14:textId="77777777" w:rsidR="00C25C7D" w:rsidRDefault="00C25C7D" w:rsidP="00C25C7D">
                            <w:pPr>
                              <w:contextualSpacing/>
                              <w:rPr>
                                <w:sz w:val="20"/>
                              </w:rPr>
                            </w:pPr>
                            <w:r>
                              <w:rPr>
                                <w:sz w:val="20"/>
                              </w:rPr>
                              <w:t>Self, Society and Welfare (30 credits) DFM1230</w:t>
                            </w:r>
                          </w:p>
                          <w:p w14:paraId="24BD6EBC" w14:textId="77777777" w:rsidR="00C25C7D" w:rsidRDefault="00C25C7D" w:rsidP="00C25C7D">
                            <w:pPr>
                              <w:contextualSpacing/>
                              <w:rPr>
                                <w:sz w:val="20"/>
                              </w:rPr>
                            </w:pPr>
                            <w:r>
                              <w:rPr>
                                <w:sz w:val="20"/>
                              </w:rPr>
                              <w:t>Perspectives on Learning and Development (30 credits) DFM1130</w:t>
                            </w:r>
                          </w:p>
                          <w:p w14:paraId="124DEA75" w14:textId="77777777" w:rsidR="00C25C7D" w:rsidRDefault="00C25C7D" w:rsidP="00C25C7D">
                            <w:pPr>
                              <w:contextualSpacing/>
                              <w:rPr>
                                <w:sz w:val="20"/>
                              </w:rPr>
                            </w:pPr>
                            <w:r>
                              <w:rPr>
                                <w:sz w:val="20"/>
                              </w:rPr>
                              <w:t>Theories and Strategies for Learning</w:t>
                            </w:r>
                            <w:r w:rsidR="00F402B4">
                              <w:rPr>
                                <w:sz w:val="20"/>
                              </w:rPr>
                              <w:t xml:space="preserve"> </w:t>
                            </w:r>
                            <w:r>
                              <w:rPr>
                                <w:sz w:val="20"/>
                              </w:rPr>
                              <w:t>(30 credits) DFM1030</w:t>
                            </w:r>
                          </w:p>
                          <w:p w14:paraId="52283AE8" w14:textId="77777777" w:rsidR="00C25C7D" w:rsidRPr="00084353" w:rsidRDefault="00C25C7D" w:rsidP="00C25C7D">
                            <w:pPr>
                              <w:contextualSpacing/>
                              <w:rPr>
                                <w:sz w:val="20"/>
                              </w:rPr>
                            </w:pPr>
                          </w:p>
                        </w:txbxContent>
                      </v:textbox>
                    </v:shape>
                  </w:pict>
                </mc:Fallback>
              </mc:AlternateContent>
            </w:r>
            <w:r w:rsidR="00C25C7D" w:rsidRPr="008B4DA8">
              <w:rPr>
                <w:b/>
                <w:sz w:val="20"/>
              </w:rPr>
              <w:t>Year 1 [Foundation level]</w:t>
            </w:r>
          </w:p>
          <w:p w14:paraId="20544FF4" w14:textId="77777777" w:rsidR="00C25C7D" w:rsidRPr="008B4DA8" w:rsidRDefault="00C25C7D" w:rsidP="00360FB0">
            <w:pPr>
              <w:ind w:left="195"/>
              <w:jc w:val="both"/>
              <w:rPr>
                <w:sz w:val="20"/>
              </w:rPr>
            </w:pPr>
          </w:p>
          <w:p w14:paraId="5D8C038E" w14:textId="77777777" w:rsidR="00C25C7D" w:rsidRPr="008B4DA8" w:rsidRDefault="00C25C7D" w:rsidP="00360FB0">
            <w:pPr>
              <w:ind w:left="195"/>
              <w:jc w:val="both"/>
              <w:rPr>
                <w:sz w:val="20"/>
              </w:rPr>
            </w:pPr>
          </w:p>
          <w:p w14:paraId="5F71361A" w14:textId="77777777" w:rsidR="00C25C7D" w:rsidRPr="008B4DA8" w:rsidRDefault="00C25C7D" w:rsidP="00360FB0">
            <w:pPr>
              <w:ind w:left="195"/>
              <w:jc w:val="both"/>
              <w:rPr>
                <w:sz w:val="20"/>
              </w:rPr>
            </w:pPr>
          </w:p>
          <w:p w14:paraId="15356348" w14:textId="77777777" w:rsidR="00C25C7D" w:rsidRPr="008B4DA8" w:rsidRDefault="00C25C7D" w:rsidP="00360FB0">
            <w:pPr>
              <w:ind w:left="195"/>
              <w:jc w:val="both"/>
              <w:rPr>
                <w:sz w:val="20"/>
              </w:rPr>
            </w:pPr>
          </w:p>
          <w:p w14:paraId="3C2E80D9" w14:textId="77777777" w:rsidR="00C25C7D" w:rsidRPr="008B4DA8" w:rsidRDefault="00C25C7D" w:rsidP="00360FB0">
            <w:pPr>
              <w:ind w:left="195"/>
              <w:jc w:val="both"/>
              <w:rPr>
                <w:sz w:val="20"/>
              </w:rPr>
            </w:pPr>
          </w:p>
          <w:p w14:paraId="5F11C771" w14:textId="77777777" w:rsidR="00C25C7D" w:rsidRPr="008B4DA8" w:rsidRDefault="00C25C7D" w:rsidP="00360FB0">
            <w:pPr>
              <w:ind w:left="195"/>
              <w:jc w:val="both"/>
              <w:rPr>
                <w:sz w:val="20"/>
              </w:rPr>
            </w:pPr>
          </w:p>
          <w:p w14:paraId="481D263F" w14:textId="77777777" w:rsidR="00C25C7D" w:rsidRPr="008B4DA8" w:rsidRDefault="00C25C7D" w:rsidP="00360FB0">
            <w:pPr>
              <w:ind w:left="195"/>
              <w:jc w:val="both"/>
              <w:rPr>
                <w:sz w:val="20"/>
              </w:rPr>
            </w:pPr>
          </w:p>
          <w:p w14:paraId="215123D1" w14:textId="77777777" w:rsidR="00C25C7D" w:rsidRPr="008B4DA8" w:rsidRDefault="00C25C7D" w:rsidP="00360FB0">
            <w:pPr>
              <w:ind w:left="195"/>
              <w:jc w:val="both"/>
              <w:rPr>
                <w:b/>
                <w:sz w:val="20"/>
              </w:rPr>
            </w:pPr>
          </w:p>
        </w:tc>
      </w:tr>
      <w:tr w:rsidR="00C25C7D" w:rsidRPr="008B4DA8" w14:paraId="5FCC6F5B" w14:textId="77777777" w:rsidTr="008F510C">
        <w:trPr>
          <w:trHeight w:val="5490"/>
        </w:trPr>
        <w:tc>
          <w:tcPr>
            <w:tcW w:w="8984" w:type="dxa"/>
          </w:tcPr>
          <w:p w14:paraId="333D80BB" w14:textId="77777777" w:rsidR="00C25C7D" w:rsidRPr="008B4DA8" w:rsidRDefault="00C25C7D" w:rsidP="00360FB0">
            <w:pPr>
              <w:ind w:left="195"/>
              <w:jc w:val="both"/>
              <w:rPr>
                <w:b/>
                <w:sz w:val="20"/>
              </w:rPr>
            </w:pPr>
          </w:p>
          <w:p w14:paraId="5980653E" w14:textId="4DFF3806" w:rsidR="00C25C7D" w:rsidRPr="008B4DA8" w:rsidRDefault="005B6895" w:rsidP="00360FB0">
            <w:pPr>
              <w:ind w:left="195"/>
              <w:jc w:val="both"/>
              <w:rPr>
                <w:b/>
                <w:sz w:val="20"/>
              </w:rPr>
            </w:pPr>
            <w:r w:rsidRPr="008B4DA8">
              <w:rPr>
                <w:b/>
                <w:noProof/>
                <w:sz w:val="20"/>
              </w:rPr>
              <mc:AlternateContent>
                <mc:Choice Requires="wps">
                  <w:drawing>
                    <wp:anchor distT="0" distB="0" distL="114300" distR="114300" simplePos="0" relativeHeight="251654656" behindDoc="0" locked="0" layoutInCell="1" allowOverlap="1" wp14:anchorId="0908E552" wp14:editId="48E32B41">
                      <wp:simplePos x="0" y="0"/>
                      <wp:positionH relativeFrom="column">
                        <wp:posOffset>3495675</wp:posOffset>
                      </wp:positionH>
                      <wp:positionV relativeFrom="paragraph">
                        <wp:posOffset>257175</wp:posOffset>
                      </wp:positionV>
                      <wp:extent cx="2000250" cy="2028825"/>
                      <wp:effectExtent l="0" t="0" r="0" b="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028825"/>
                              </a:xfrm>
                              <a:prstGeom prst="rect">
                                <a:avLst/>
                              </a:prstGeom>
                              <a:solidFill>
                                <a:srgbClr val="FFFFFF"/>
                              </a:solidFill>
                              <a:ln w="9525">
                                <a:solidFill>
                                  <a:srgbClr val="000000"/>
                                </a:solidFill>
                                <a:miter lim="800000"/>
                                <a:headEnd/>
                                <a:tailEnd/>
                              </a:ln>
                            </wps:spPr>
                            <wps:txbx>
                              <w:txbxContent>
                                <w:p w14:paraId="092D906F" w14:textId="77777777" w:rsidR="00C25C7D" w:rsidRPr="00ED24A3" w:rsidRDefault="00C25C7D" w:rsidP="00C25C7D">
                                  <w:pPr>
                                    <w:contextualSpacing/>
                                    <w:rPr>
                                      <w:b/>
                                      <w:sz w:val="20"/>
                                    </w:rPr>
                                  </w:pPr>
                                  <w:r w:rsidRPr="00ED24A3">
                                    <w:rPr>
                                      <w:b/>
                                      <w:sz w:val="20"/>
                                    </w:rPr>
                                    <w:t>Progression requirements</w:t>
                                  </w:r>
                                </w:p>
                                <w:p w14:paraId="340AB131" w14:textId="77777777" w:rsidR="00C25C7D" w:rsidRDefault="00C25C7D" w:rsidP="00C25C7D">
                                  <w:pPr>
                                    <w:contextualSpacing/>
                                    <w:rPr>
                                      <w:sz w:val="20"/>
                                    </w:rPr>
                                  </w:pPr>
                                  <w:r>
                                    <w:rPr>
                                      <w:sz w:val="20"/>
                                    </w:rPr>
                                    <w:t>A minimum of 210 credits for progressions</w:t>
                                  </w:r>
                                </w:p>
                                <w:p w14:paraId="193C677D" w14:textId="77777777" w:rsidR="00C25C7D" w:rsidRDefault="00C25C7D" w:rsidP="00C25C7D">
                                  <w:pPr>
                                    <w:contextualSpacing/>
                                    <w:rPr>
                                      <w:sz w:val="20"/>
                                    </w:rPr>
                                  </w:pPr>
                                </w:p>
                                <w:p w14:paraId="3D5AF336" w14:textId="77777777" w:rsidR="00C25C7D" w:rsidRDefault="00C25C7D" w:rsidP="00C25C7D">
                                  <w:pPr>
                                    <w:contextualSpacing/>
                                    <w:rPr>
                                      <w:sz w:val="20"/>
                                    </w:rPr>
                                  </w:pPr>
                                  <w:r>
                                    <w:rPr>
                                      <w:sz w:val="20"/>
                                    </w:rPr>
                                    <w:t>A minimum of 240 credits for the award of Diploma in Higher Education (this is an academic qualification and does not provide any form of vocational qualification) (unnamed).</w:t>
                                  </w:r>
                                </w:p>
                                <w:p w14:paraId="65313F6C" w14:textId="77777777" w:rsidR="00C25C7D" w:rsidRPr="00F055B4"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E552" id="Text Box 79" o:spid="_x0000_s1028" type="#_x0000_t202" style="position:absolute;left:0;text-align:left;margin-left:275.25pt;margin-top:20.25pt;width:157.5pt;height:15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">
                      <v:textbox>
                        <w:txbxContent>
                          <w:p w14:paraId="092D906F" w14:textId="77777777" w:rsidR="00C25C7D" w:rsidRPr="00ED24A3" w:rsidRDefault="00C25C7D" w:rsidP="00C25C7D">
                            <w:pPr>
                              <w:contextualSpacing/>
                              <w:rPr>
                                <w:b/>
                                <w:sz w:val="20"/>
                              </w:rPr>
                            </w:pPr>
                            <w:r w:rsidRPr="00ED24A3">
                              <w:rPr>
                                <w:b/>
                                <w:sz w:val="20"/>
                              </w:rPr>
                              <w:t>Progression requirements</w:t>
                            </w:r>
                          </w:p>
                          <w:p w14:paraId="340AB131" w14:textId="77777777" w:rsidR="00C25C7D" w:rsidRDefault="00C25C7D" w:rsidP="00C25C7D">
                            <w:pPr>
                              <w:contextualSpacing/>
                              <w:rPr>
                                <w:sz w:val="20"/>
                              </w:rPr>
                            </w:pPr>
                            <w:r>
                              <w:rPr>
                                <w:sz w:val="20"/>
                              </w:rPr>
                              <w:t>A minimum of 210 credits for progressions</w:t>
                            </w:r>
                          </w:p>
                          <w:p w14:paraId="193C677D" w14:textId="77777777" w:rsidR="00C25C7D" w:rsidRDefault="00C25C7D" w:rsidP="00C25C7D">
                            <w:pPr>
                              <w:contextualSpacing/>
                              <w:rPr>
                                <w:sz w:val="20"/>
                              </w:rPr>
                            </w:pPr>
                          </w:p>
                          <w:p w14:paraId="3D5AF336" w14:textId="77777777" w:rsidR="00C25C7D" w:rsidRDefault="00C25C7D" w:rsidP="00C25C7D">
                            <w:pPr>
                              <w:contextualSpacing/>
                              <w:rPr>
                                <w:sz w:val="20"/>
                              </w:rPr>
                            </w:pPr>
                            <w:r>
                              <w:rPr>
                                <w:sz w:val="20"/>
                              </w:rPr>
                              <w:t>A minimum of 240 credits for the award of Diploma in Higher Education (this is an academic qualification and does not provide any form of vocational qualification) (unnamed).</w:t>
                            </w:r>
                          </w:p>
                          <w:p w14:paraId="65313F6C" w14:textId="77777777" w:rsidR="00C25C7D" w:rsidRPr="00F055B4" w:rsidRDefault="00C25C7D" w:rsidP="00C25C7D">
                            <w:pPr>
                              <w:contextualSpacing/>
                              <w:rPr>
                                <w:sz w:val="20"/>
                              </w:rPr>
                            </w:pPr>
                          </w:p>
                        </w:txbxContent>
                      </v:textbox>
                    </v:shape>
                  </w:pict>
                </mc:Fallback>
              </mc:AlternateContent>
            </w:r>
            <w:r w:rsidR="00C25C7D" w:rsidRPr="008B4DA8">
              <w:rPr>
                <w:b/>
                <w:sz w:val="20"/>
              </w:rPr>
              <w:t>Year 2 [Intermediate level]</w:t>
            </w:r>
          </w:p>
          <w:p w14:paraId="2DB8D72A" w14:textId="6A337AD8" w:rsidR="00C25C7D" w:rsidRPr="008B4DA8" w:rsidRDefault="005B6895" w:rsidP="00360FB0">
            <w:pPr>
              <w:ind w:left="195"/>
              <w:jc w:val="both"/>
              <w:rPr>
                <w:sz w:val="20"/>
              </w:rPr>
            </w:pPr>
            <w:r w:rsidRPr="008B4DA8">
              <w:rPr>
                <w:b/>
                <w:noProof/>
                <w:sz w:val="20"/>
              </w:rPr>
              <mc:AlternateContent>
                <mc:Choice Requires="wps">
                  <w:drawing>
                    <wp:anchor distT="0" distB="0" distL="114300" distR="114300" simplePos="0" relativeHeight="251653632" behindDoc="0" locked="0" layoutInCell="1" allowOverlap="1" wp14:anchorId="35523310" wp14:editId="33CD689F">
                      <wp:simplePos x="0" y="0"/>
                      <wp:positionH relativeFrom="column">
                        <wp:posOffset>9525</wp:posOffset>
                      </wp:positionH>
                      <wp:positionV relativeFrom="paragraph">
                        <wp:posOffset>50800</wp:posOffset>
                      </wp:positionV>
                      <wp:extent cx="3238500" cy="1379220"/>
                      <wp:effectExtent l="0" t="0" r="0" b="0"/>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79220"/>
                              </a:xfrm>
                              <a:prstGeom prst="rect">
                                <a:avLst/>
                              </a:prstGeom>
                              <a:solidFill>
                                <a:srgbClr val="FFFFFF"/>
                              </a:solidFill>
                              <a:ln w="9525">
                                <a:solidFill>
                                  <a:srgbClr val="000000"/>
                                </a:solidFill>
                                <a:miter lim="800000"/>
                                <a:headEnd/>
                                <a:tailEnd/>
                              </a:ln>
                            </wps:spPr>
                            <wps:txbx>
                              <w:txbxContent>
                                <w:p w14:paraId="1807B992" w14:textId="77777777" w:rsidR="00C25C7D" w:rsidRPr="00ED24A3" w:rsidRDefault="00C25C7D" w:rsidP="00C25C7D">
                                  <w:pPr>
                                    <w:contextualSpacing/>
                                    <w:rPr>
                                      <w:b/>
                                      <w:sz w:val="20"/>
                                    </w:rPr>
                                  </w:pPr>
                                  <w:r w:rsidRPr="00ED24A3">
                                    <w:rPr>
                                      <w:b/>
                                      <w:sz w:val="20"/>
                                    </w:rPr>
                                    <w:t>Year Long Modules (compulsory)</w:t>
                                  </w:r>
                                </w:p>
                                <w:p w14:paraId="7B66E0BD" w14:textId="77777777" w:rsidR="00132CC0" w:rsidRDefault="00F53E6C" w:rsidP="00C25C7D">
                                  <w:pPr>
                                    <w:contextualSpacing/>
                                    <w:rPr>
                                      <w:sz w:val="20"/>
                                    </w:rPr>
                                  </w:pPr>
                                  <w:r>
                                    <w:rPr>
                                      <w:sz w:val="20"/>
                                    </w:rPr>
                                    <w:t>Working in Community Settings</w:t>
                                  </w:r>
                                  <w:r w:rsidR="00C25C7D">
                                    <w:rPr>
                                      <w:sz w:val="20"/>
                                    </w:rPr>
                                    <w:t xml:space="preserve"> (30 credits) </w:t>
                                  </w:r>
                                  <w:r w:rsidR="000D28E5">
                                    <w:rPr>
                                      <w:sz w:val="20"/>
                                    </w:rPr>
                                    <w:t>DIM4030</w:t>
                                  </w:r>
                                </w:p>
                                <w:p w14:paraId="34C8B689" w14:textId="77777777" w:rsidR="00C25C7D" w:rsidRDefault="00C25C7D" w:rsidP="00C25C7D">
                                  <w:pPr>
                                    <w:contextualSpacing/>
                                    <w:rPr>
                                      <w:sz w:val="20"/>
                                    </w:rPr>
                                  </w:pPr>
                                  <w:r>
                                    <w:rPr>
                                      <w:sz w:val="20"/>
                                    </w:rPr>
                                    <w:t>People in Action: Work with Individuals and Groups (30 credits) DIM1430</w:t>
                                  </w:r>
                                </w:p>
                                <w:p w14:paraId="130F73A0" w14:textId="77777777" w:rsidR="00C25C7D" w:rsidRPr="00ED24A3" w:rsidRDefault="00C25C7D" w:rsidP="00C25C7D">
                                  <w:pPr>
                                    <w:contextualSpacing/>
                                    <w:rPr>
                                      <w:b/>
                                      <w:sz w:val="20"/>
                                    </w:rPr>
                                  </w:pPr>
                                  <w:r w:rsidRPr="00ED24A3">
                                    <w:rPr>
                                      <w:b/>
                                      <w:sz w:val="20"/>
                                    </w:rPr>
                                    <w:t>Year Long Modules (core)</w:t>
                                  </w:r>
                                </w:p>
                                <w:p w14:paraId="52D36A09" w14:textId="77777777" w:rsidR="00C25C7D" w:rsidRDefault="000D28E5" w:rsidP="00C25C7D">
                                  <w:pPr>
                                    <w:contextualSpacing/>
                                    <w:rPr>
                                      <w:sz w:val="20"/>
                                    </w:rPr>
                                  </w:pPr>
                                  <w:r>
                                    <w:rPr>
                                      <w:sz w:val="20"/>
                                    </w:rPr>
                                    <w:t>Social Policy,</w:t>
                                  </w:r>
                                  <w:r w:rsidR="00336DE0">
                                    <w:rPr>
                                      <w:sz w:val="20"/>
                                    </w:rPr>
                                    <w:t xml:space="preserve"> Inclusion</w:t>
                                  </w:r>
                                  <w:r>
                                    <w:rPr>
                                      <w:sz w:val="20"/>
                                    </w:rPr>
                                    <w:t xml:space="preserve"> &amp; Equality (30 credits) DIM4130</w:t>
                                  </w:r>
                                </w:p>
                                <w:p w14:paraId="1397BBDB" w14:textId="77777777" w:rsidR="00C25C7D" w:rsidRPr="00084353"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3310" id="Text Box 78" o:spid="_x0000_s1029" type="#_x0000_t202" style="position:absolute;left:0;text-align:left;margin-left:.75pt;margin-top:4pt;width:255pt;height:10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pfLwIAAFo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">
                      <v:textbox>
                        <w:txbxContent>
                          <w:p w14:paraId="1807B992" w14:textId="77777777" w:rsidR="00C25C7D" w:rsidRPr="00ED24A3" w:rsidRDefault="00C25C7D" w:rsidP="00C25C7D">
                            <w:pPr>
                              <w:contextualSpacing/>
                              <w:rPr>
                                <w:b/>
                                <w:sz w:val="20"/>
                              </w:rPr>
                            </w:pPr>
                            <w:r w:rsidRPr="00ED24A3">
                              <w:rPr>
                                <w:b/>
                                <w:sz w:val="20"/>
                              </w:rPr>
                              <w:t>Year Long Modules (compulsory)</w:t>
                            </w:r>
                          </w:p>
                          <w:p w14:paraId="7B66E0BD" w14:textId="77777777" w:rsidR="00132CC0" w:rsidRDefault="00F53E6C" w:rsidP="00C25C7D">
                            <w:pPr>
                              <w:contextualSpacing/>
                              <w:rPr>
                                <w:sz w:val="20"/>
                              </w:rPr>
                            </w:pPr>
                            <w:r>
                              <w:rPr>
                                <w:sz w:val="20"/>
                              </w:rPr>
                              <w:t>Working in Community Settings</w:t>
                            </w:r>
                            <w:r w:rsidR="00C25C7D">
                              <w:rPr>
                                <w:sz w:val="20"/>
                              </w:rPr>
                              <w:t xml:space="preserve"> (30 credits) </w:t>
                            </w:r>
                            <w:r w:rsidR="000D28E5">
                              <w:rPr>
                                <w:sz w:val="20"/>
                              </w:rPr>
                              <w:t>DIM4030</w:t>
                            </w:r>
                          </w:p>
                          <w:p w14:paraId="34C8B689" w14:textId="77777777" w:rsidR="00C25C7D" w:rsidRDefault="00C25C7D" w:rsidP="00C25C7D">
                            <w:pPr>
                              <w:contextualSpacing/>
                              <w:rPr>
                                <w:sz w:val="20"/>
                              </w:rPr>
                            </w:pPr>
                            <w:r>
                              <w:rPr>
                                <w:sz w:val="20"/>
                              </w:rPr>
                              <w:t>People in Action: Work with Individuals and Groups (30 credits) DIM1430</w:t>
                            </w:r>
                          </w:p>
                          <w:p w14:paraId="130F73A0" w14:textId="77777777" w:rsidR="00C25C7D" w:rsidRPr="00ED24A3" w:rsidRDefault="00C25C7D" w:rsidP="00C25C7D">
                            <w:pPr>
                              <w:contextualSpacing/>
                              <w:rPr>
                                <w:b/>
                                <w:sz w:val="20"/>
                              </w:rPr>
                            </w:pPr>
                            <w:r w:rsidRPr="00ED24A3">
                              <w:rPr>
                                <w:b/>
                                <w:sz w:val="20"/>
                              </w:rPr>
                              <w:t>Year Long Modules (core)</w:t>
                            </w:r>
                          </w:p>
                          <w:p w14:paraId="52D36A09" w14:textId="77777777" w:rsidR="00C25C7D" w:rsidRDefault="000D28E5" w:rsidP="00C25C7D">
                            <w:pPr>
                              <w:contextualSpacing/>
                              <w:rPr>
                                <w:sz w:val="20"/>
                              </w:rPr>
                            </w:pPr>
                            <w:r>
                              <w:rPr>
                                <w:sz w:val="20"/>
                              </w:rPr>
                              <w:t>Social Policy,</w:t>
                            </w:r>
                            <w:r w:rsidR="00336DE0">
                              <w:rPr>
                                <w:sz w:val="20"/>
                              </w:rPr>
                              <w:t xml:space="preserve"> Inclusion</w:t>
                            </w:r>
                            <w:r>
                              <w:rPr>
                                <w:sz w:val="20"/>
                              </w:rPr>
                              <w:t xml:space="preserve"> &amp; Equality (30 credits) DIM4130</w:t>
                            </w:r>
                          </w:p>
                          <w:p w14:paraId="1397BBDB" w14:textId="77777777" w:rsidR="00C25C7D" w:rsidRPr="00084353" w:rsidRDefault="00C25C7D" w:rsidP="00C25C7D">
                            <w:pPr>
                              <w:contextualSpacing/>
                              <w:rPr>
                                <w:sz w:val="20"/>
                              </w:rPr>
                            </w:pPr>
                          </w:p>
                        </w:txbxContent>
                      </v:textbox>
                    </v:shape>
                  </w:pict>
                </mc:Fallback>
              </mc:AlternateContent>
            </w:r>
          </w:p>
          <w:p w14:paraId="27231F5B" w14:textId="77777777" w:rsidR="00C25C7D" w:rsidRPr="008B4DA8" w:rsidRDefault="00C25C7D" w:rsidP="00360FB0">
            <w:pPr>
              <w:ind w:left="195"/>
              <w:jc w:val="both"/>
              <w:rPr>
                <w:sz w:val="20"/>
              </w:rPr>
            </w:pPr>
          </w:p>
          <w:p w14:paraId="0976A946" w14:textId="77777777" w:rsidR="00C25C7D" w:rsidRPr="008B4DA8" w:rsidRDefault="00C25C7D" w:rsidP="00360FB0">
            <w:pPr>
              <w:ind w:left="195"/>
              <w:jc w:val="both"/>
              <w:rPr>
                <w:sz w:val="20"/>
              </w:rPr>
            </w:pPr>
          </w:p>
          <w:p w14:paraId="28489349" w14:textId="77777777" w:rsidR="00C25C7D" w:rsidRPr="008B4DA8" w:rsidRDefault="00C25C7D" w:rsidP="00360FB0">
            <w:pPr>
              <w:ind w:left="195"/>
              <w:jc w:val="both"/>
              <w:rPr>
                <w:sz w:val="20"/>
              </w:rPr>
            </w:pPr>
          </w:p>
          <w:p w14:paraId="03471B7C" w14:textId="77777777" w:rsidR="00C25C7D" w:rsidRPr="008B4DA8" w:rsidRDefault="00C25C7D" w:rsidP="00360FB0">
            <w:pPr>
              <w:ind w:left="195"/>
              <w:jc w:val="both"/>
              <w:rPr>
                <w:sz w:val="20"/>
              </w:rPr>
            </w:pPr>
          </w:p>
          <w:p w14:paraId="59F60DDB" w14:textId="77777777" w:rsidR="00C25C7D" w:rsidRPr="008B4DA8" w:rsidRDefault="00C25C7D" w:rsidP="00360FB0">
            <w:pPr>
              <w:ind w:left="195"/>
              <w:jc w:val="both"/>
              <w:rPr>
                <w:sz w:val="20"/>
              </w:rPr>
            </w:pPr>
          </w:p>
          <w:p w14:paraId="4F7E7209" w14:textId="77777777" w:rsidR="00C25C7D" w:rsidRPr="008B4DA8" w:rsidRDefault="00C25C7D" w:rsidP="00360FB0">
            <w:pPr>
              <w:ind w:left="195"/>
              <w:jc w:val="both"/>
              <w:rPr>
                <w:sz w:val="20"/>
              </w:rPr>
            </w:pPr>
          </w:p>
          <w:p w14:paraId="40E9AE31" w14:textId="5926C91B" w:rsidR="00C25C7D" w:rsidRPr="008B4DA8" w:rsidRDefault="005B6895" w:rsidP="00360FB0">
            <w:pPr>
              <w:ind w:left="195"/>
              <w:jc w:val="both"/>
              <w:rPr>
                <w:b/>
                <w:sz w:val="20"/>
              </w:rPr>
            </w:pPr>
            <w:r w:rsidRPr="008B4DA8">
              <w:rPr>
                <w:noProof/>
                <w:sz w:val="20"/>
              </w:rPr>
              <mc:AlternateContent>
                <mc:Choice Requires="wps">
                  <w:drawing>
                    <wp:anchor distT="0" distB="0" distL="114300" distR="114300" simplePos="0" relativeHeight="251655680" behindDoc="0" locked="0" layoutInCell="1" allowOverlap="1" wp14:anchorId="2D7DB019" wp14:editId="41FE704B">
                      <wp:simplePos x="0" y="0"/>
                      <wp:positionH relativeFrom="column">
                        <wp:posOffset>9525</wp:posOffset>
                      </wp:positionH>
                      <wp:positionV relativeFrom="paragraph">
                        <wp:posOffset>449580</wp:posOffset>
                      </wp:positionV>
                      <wp:extent cx="3238500" cy="1624965"/>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24965"/>
                              </a:xfrm>
                              <a:prstGeom prst="rect">
                                <a:avLst/>
                              </a:prstGeom>
                              <a:solidFill>
                                <a:srgbClr val="FFFFFF"/>
                              </a:solidFill>
                              <a:ln w="9525">
                                <a:solidFill>
                                  <a:srgbClr val="000000"/>
                                </a:solidFill>
                                <a:miter lim="800000"/>
                                <a:headEnd/>
                                <a:tailEnd/>
                              </a:ln>
                            </wps:spPr>
                            <wps:txbx>
                              <w:txbxContent>
                                <w:p w14:paraId="294CA605" w14:textId="77777777" w:rsidR="00C25C7D" w:rsidRPr="00ED24A3" w:rsidRDefault="00C25C7D" w:rsidP="00C25C7D">
                                  <w:pPr>
                                    <w:contextualSpacing/>
                                    <w:rPr>
                                      <w:b/>
                                      <w:sz w:val="20"/>
                                    </w:rPr>
                                  </w:pPr>
                                  <w:r w:rsidRPr="00ED24A3">
                                    <w:rPr>
                                      <w:b/>
                                      <w:sz w:val="20"/>
                                    </w:rPr>
                                    <w:t>Year Long Modules (option)</w:t>
                                  </w:r>
                                </w:p>
                                <w:p w14:paraId="7C89D765" w14:textId="77777777" w:rsidR="00132CC0" w:rsidRPr="000D58DE" w:rsidRDefault="00132CC0" w:rsidP="00132CC0">
                                  <w:pPr>
                                    <w:rPr>
                                      <w:sz w:val="20"/>
                                    </w:rPr>
                                  </w:pPr>
                                  <w:r w:rsidRPr="000D58DE">
                                    <w:rPr>
                                      <w:sz w:val="20"/>
                                    </w:rPr>
                                    <w:t>DIM1130 Safeguarding Children and Young People</w:t>
                                  </w:r>
                                </w:p>
                                <w:p w14:paraId="4F1925C4" w14:textId="77777777" w:rsidR="00C25C7D" w:rsidRPr="000D58DE" w:rsidRDefault="000D28E5" w:rsidP="00C25C7D">
                                  <w:pPr>
                                    <w:rPr>
                                      <w:sz w:val="20"/>
                                    </w:rPr>
                                  </w:pPr>
                                  <w:r>
                                    <w:rPr>
                                      <w:sz w:val="20"/>
                                    </w:rPr>
                                    <w:t xml:space="preserve">Developing </w:t>
                                  </w:r>
                                  <w:r w:rsidR="00C25C7D" w:rsidRPr="000D58DE">
                                    <w:rPr>
                                      <w:sz w:val="20"/>
                                    </w:rPr>
                                    <w:t>Language and Communication</w:t>
                                  </w:r>
                                  <w:r>
                                    <w:rPr>
                                      <w:sz w:val="20"/>
                                    </w:rPr>
                                    <w:t xml:space="preserve"> for Learning (30 credits) DIM4230</w:t>
                                  </w:r>
                                </w:p>
                                <w:p w14:paraId="12CAB596" w14:textId="77777777" w:rsidR="00C25C7D" w:rsidRPr="000D58DE" w:rsidRDefault="00C25C7D" w:rsidP="00C25C7D">
                                  <w:pPr>
                                    <w:rPr>
                                      <w:sz w:val="20"/>
                                    </w:rPr>
                                  </w:pPr>
                                  <w:r w:rsidRPr="000D58DE">
                                    <w:rPr>
                                      <w:sz w:val="20"/>
                                    </w:rPr>
                                    <w:t>Philosophical Approaches to Education (30 credits) DIA2730</w:t>
                                  </w:r>
                                </w:p>
                                <w:p w14:paraId="05A4E5C1" w14:textId="77777777" w:rsidR="00C25C7D" w:rsidRPr="000D58DE" w:rsidRDefault="00C25C7D" w:rsidP="00C25C7D">
                                  <w:pPr>
                                    <w:rPr>
                                      <w:sz w:val="20"/>
                                    </w:rPr>
                                  </w:pPr>
                                  <w:r w:rsidRPr="000D58DE">
                                    <w:rPr>
                                      <w:sz w:val="20"/>
                                    </w:rPr>
                                    <w:t>Abrahmic Religion in Contemporary contexts (30 credits) DIR1130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B019" id="Text Box 80" o:spid="_x0000_s1030" type="#_x0000_t202" style="position:absolute;left:0;text-align:left;margin-left:.75pt;margin-top:35.4pt;width:255pt;height:1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">
                      <v:textbox>
                        <w:txbxContent>
                          <w:p w14:paraId="294CA605" w14:textId="77777777" w:rsidR="00C25C7D" w:rsidRPr="00ED24A3" w:rsidRDefault="00C25C7D" w:rsidP="00C25C7D">
                            <w:pPr>
                              <w:contextualSpacing/>
                              <w:rPr>
                                <w:b/>
                                <w:sz w:val="20"/>
                              </w:rPr>
                            </w:pPr>
                            <w:r w:rsidRPr="00ED24A3">
                              <w:rPr>
                                <w:b/>
                                <w:sz w:val="20"/>
                              </w:rPr>
                              <w:t>Year Long Modules (option)</w:t>
                            </w:r>
                          </w:p>
                          <w:p w14:paraId="7C89D765" w14:textId="77777777" w:rsidR="00132CC0" w:rsidRPr="000D58DE" w:rsidRDefault="00132CC0" w:rsidP="00132CC0">
                            <w:pPr>
                              <w:rPr>
                                <w:sz w:val="20"/>
                              </w:rPr>
                            </w:pPr>
                            <w:r w:rsidRPr="000D58DE">
                              <w:rPr>
                                <w:sz w:val="20"/>
                              </w:rPr>
                              <w:t>DIM1130 Safeguarding Children and Young People</w:t>
                            </w:r>
                          </w:p>
                          <w:p w14:paraId="4F1925C4" w14:textId="77777777" w:rsidR="00C25C7D" w:rsidRPr="000D58DE" w:rsidRDefault="000D28E5" w:rsidP="00C25C7D">
                            <w:pPr>
                              <w:rPr>
                                <w:sz w:val="20"/>
                              </w:rPr>
                            </w:pPr>
                            <w:r>
                              <w:rPr>
                                <w:sz w:val="20"/>
                              </w:rPr>
                              <w:t xml:space="preserve">Developing </w:t>
                            </w:r>
                            <w:r w:rsidR="00C25C7D" w:rsidRPr="000D58DE">
                              <w:rPr>
                                <w:sz w:val="20"/>
                              </w:rPr>
                              <w:t>Language and Communication</w:t>
                            </w:r>
                            <w:r>
                              <w:rPr>
                                <w:sz w:val="20"/>
                              </w:rPr>
                              <w:t xml:space="preserve"> for Learning (30 credits) DIM4230</w:t>
                            </w:r>
                          </w:p>
                          <w:p w14:paraId="12CAB596" w14:textId="77777777" w:rsidR="00C25C7D" w:rsidRPr="000D58DE" w:rsidRDefault="00C25C7D" w:rsidP="00C25C7D">
                            <w:pPr>
                              <w:rPr>
                                <w:sz w:val="20"/>
                              </w:rPr>
                            </w:pPr>
                            <w:r w:rsidRPr="000D58DE">
                              <w:rPr>
                                <w:sz w:val="20"/>
                              </w:rPr>
                              <w:t>Philosophical Approaches to Education (30 credits) DIA2730</w:t>
                            </w:r>
                          </w:p>
                          <w:p w14:paraId="05A4E5C1" w14:textId="77777777" w:rsidR="00C25C7D" w:rsidRPr="000D58DE" w:rsidRDefault="00C25C7D" w:rsidP="00C25C7D">
                            <w:pPr>
                              <w:rPr>
                                <w:sz w:val="20"/>
                              </w:rPr>
                            </w:pPr>
                            <w:r w:rsidRPr="000D58DE">
                              <w:rPr>
                                <w:sz w:val="20"/>
                              </w:rPr>
                              <w:t>Abrahmic Religion in Contemporary contexts (30 credits) DIR1130</w:t>
                            </w:r>
                          </w:p>
                        </w:txbxContent>
                      </v:textbox>
                    </v:shape>
                  </w:pict>
                </mc:Fallback>
              </mc:AlternateContent>
            </w:r>
          </w:p>
        </w:tc>
      </w:tr>
      <w:tr w:rsidR="00C25C7D" w:rsidRPr="008B4DA8" w14:paraId="651E8E98" w14:textId="77777777">
        <w:trPr>
          <w:trHeight w:val="3990"/>
        </w:trPr>
        <w:tc>
          <w:tcPr>
            <w:tcW w:w="8984" w:type="dxa"/>
          </w:tcPr>
          <w:p w14:paraId="40D8E2EE" w14:textId="77777777" w:rsidR="00C25C7D" w:rsidRPr="008B4DA8" w:rsidRDefault="00C25C7D" w:rsidP="00360FB0">
            <w:pPr>
              <w:ind w:left="195"/>
              <w:jc w:val="both"/>
              <w:rPr>
                <w:sz w:val="20"/>
              </w:rPr>
            </w:pPr>
          </w:p>
          <w:p w14:paraId="5B869B60" w14:textId="77777777" w:rsidR="00C25C7D" w:rsidRPr="008B4DA8" w:rsidRDefault="00C25C7D" w:rsidP="00360FB0">
            <w:pPr>
              <w:ind w:left="195"/>
              <w:jc w:val="both"/>
              <w:rPr>
                <w:b/>
                <w:sz w:val="20"/>
              </w:rPr>
            </w:pPr>
            <w:r w:rsidRPr="008B4DA8">
              <w:rPr>
                <w:b/>
                <w:sz w:val="20"/>
              </w:rPr>
              <w:t>Year 3 [Honours level]</w:t>
            </w:r>
          </w:p>
          <w:p w14:paraId="5603A6B0" w14:textId="1D64E5B7" w:rsidR="00C25C7D" w:rsidRPr="008B4DA8" w:rsidRDefault="005B6895" w:rsidP="00360FB0">
            <w:pPr>
              <w:ind w:left="195"/>
              <w:jc w:val="both"/>
              <w:rPr>
                <w:sz w:val="20"/>
              </w:rPr>
            </w:pPr>
            <w:r w:rsidRPr="008B4DA8">
              <w:rPr>
                <w:noProof/>
                <w:sz w:val="20"/>
              </w:rPr>
              <mc:AlternateContent>
                <mc:Choice Requires="wps">
                  <w:drawing>
                    <wp:anchor distT="0" distB="0" distL="114300" distR="114300" simplePos="0" relativeHeight="251657728" behindDoc="0" locked="0" layoutInCell="1" allowOverlap="1" wp14:anchorId="49D98D44" wp14:editId="50C12994">
                      <wp:simplePos x="0" y="0"/>
                      <wp:positionH relativeFrom="column">
                        <wp:posOffset>3495675</wp:posOffset>
                      </wp:positionH>
                      <wp:positionV relativeFrom="paragraph">
                        <wp:posOffset>88900</wp:posOffset>
                      </wp:positionV>
                      <wp:extent cx="2000250" cy="1609725"/>
                      <wp:effectExtent l="0" t="0" r="0" b="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09725"/>
                              </a:xfrm>
                              <a:prstGeom prst="rect">
                                <a:avLst/>
                              </a:prstGeom>
                              <a:solidFill>
                                <a:srgbClr val="FFFFFF"/>
                              </a:solidFill>
                              <a:ln w="9525">
                                <a:solidFill>
                                  <a:srgbClr val="000000"/>
                                </a:solidFill>
                                <a:miter lim="800000"/>
                                <a:headEnd/>
                                <a:tailEnd/>
                              </a:ln>
                            </wps:spPr>
                            <wps:txbx>
                              <w:txbxContent>
                                <w:p w14:paraId="2FF4650B" w14:textId="77777777" w:rsidR="00C25C7D" w:rsidRPr="00ED24A3" w:rsidRDefault="00C25C7D" w:rsidP="00C25C7D">
                                  <w:pPr>
                                    <w:contextualSpacing/>
                                    <w:rPr>
                                      <w:b/>
                                      <w:sz w:val="20"/>
                                    </w:rPr>
                                  </w:pPr>
                                  <w:r w:rsidRPr="00ED24A3">
                                    <w:rPr>
                                      <w:b/>
                                      <w:sz w:val="20"/>
                                    </w:rPr>
                                    <w:t>Progression requirements</w:t>
                                  </w:r>
                                </w:p>
                                <w:p w14:paraId="4DD51D81" w14:textId="77777777" w:rsidR="00C25C7D" w:rsidRPr="00F055B4" w:rsidRDefault="00C25C7D" w:rsidP="00C25C7D">
                                  <w:pPr>
                                    <w:contextualSpacing/>
                                    <w:rPr>
                                      <w:sz w:val="20"/>
                                    </w:rPr>
                                  </w:pPr>
                                  <w:r>
                                    <w:rPr>
                                      <w:sz w:val="20"/>
                                    </w:rPr>
                                    <w:t>An Honours degree together with professional status as a Youth and Community Worker (JNC recognised) is awarded on the basis of gaining 120 Foundation level credits; 120 Intermediate level credits and 120 Honours level credits (360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8D44" id="Text Box 82" o:spid="_x0000_s1031" type="#_x0000_t202" style="position:absolute;left:0;text-align:left;margin-left:275.25pt;margin-top:7pt;width:157.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">
                      <v:textbox>
                        <w:txbxContent>
                          <w:p w14:paraId="2FF4650B" w14:textId="77777777" w:rsidR="00C25C7D" w:rsidRPr="00ED24A3" w:rsidRDefault="00C25C7D" w:rsidP="00C25C7D">
                            <w:pPr>
                              <w:contextualSpacing/>
                              <w:rPr>
                                <w:b/>
                                <w:sz w:val="20"/>
                              </w:rPr>
                            </w:pPr>
                            <w:r w:rsidRPr="00ED24A3">
                              <w:rPr>
                                <w:b/>
                                <w:sz w:val="20"/>
                              </w:rPr>
                              <w:t>Progression requirements</w:t>
                            </w:r>
                          </w:p>
                          <w:p w14:paraId="4DD51D81" w14:textId="77777777" w:rsidR="00C25C7D" w:rsidRPr="00F055B4" w:rsidRDefault="00C25C7D" w:rsidP="00C25C7D">
                            <w:pPr>
                              <w:contextualSpacing/>
                              <w:rPr>
                                <w:sz w:val="20"/>
                              </w:rPr>
                            </w:pPr>
                            <w:r>
                              <w:rPr>
                                <w:sz w:val="20"/>
                              </w:rPr>
                              <w:t>An Honours degree together with professional status as a Youth and Community Worker (JNC recognised) is awarded on the basis of gaining 120 Foundation level credits; 120 Intermediate level credits and 120 Honours level credits (360 credits)</w:t>
                            </w:r>
                          </w:p>
                        </w:txbxContent>
                      </v:textbox>
                    </v:shape>
                  </w:pict>
                </mc:Fallback>
              </mc:AlternateContent>
            </w:r>
            <w:r w:rsidRPr="008B4DA8">
              <w:rPr>
                <w:noProof/>
                <w:sz w:val="20"/>
              </w:rPr>
              <mc:AlternateContent>
                <mc:Choice Requires="wps">
                  <w:drawing>
                    <wp:anchor distT="0" distB="0" distL="114300" distR="114300" simplePos="0" relativeHeight="251656704" behindDoc="0" locked="0" layoutInCell="1" allowOverlap="1" wp14:anchorId="3A0D4FE8" wp14:editId="24DFD12B">
                      <wp:simplePos x="0" y="0"/>
                      <wp:positionH relativeFrom="column">
                        <wp:posOffset>9525</wp:posOffset>
                      </wp:positionH>
                      <wp:positionV relativeFrom="paragraph">
                        <wp:posOffset>88900</wp:posOffset>
                      </wp:positionV>
                      <wp:extent cx="3238500" cy="1447800"/>
                      <wp:effectExtent l="0" t="0" r="0" b="0"/>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47800"/>
                              </a:xfrm>
                              <a:prstGeom prst="rect">
                                <a:avLst/>
                              </a:prstGeom>
                              <a:solidFill>
                                <a:srgbClr val="FFFFFF"/>
                              </a:solidFill>
                              <a:ln w="9525">
                                <a:solidFill>
                                  <a:srgbClr val="000000"/>
                                </a:solidFill>
                                <a:miter lim="800000"/>
                                <a:headEnd/>
                                <a:tailEnd/>
                              </a:ln>
                            </wps:spPr>
                            <wps:txbx>
                              <w:txbxContent>
                                <w:p w14:paraId="51F92B1B" w14:textId="77777777" w:rsidR="00C25C7D" w:rsidRPr="00ED24A3" w:rsidRDefault="00C25C7D" w:rsidP="00C25C7D">
                                  <w:pPr>
                                    <w:contextualSpacing/>
                                    <w:rPr>
                                      <w:b/>
                                      <w:sz w:val="20"/>
                                    </w:rPr>
                                  </w:pPr>
                                  <w:r w:rsidRPr="00ED24A3">
                                    <w:rPr>
                                      <w:b/>
                                      <w:sz w:val="20"/>
                                    </w:rPr>
                                    <w:t>Year Long Modules (compulsory)</w:t>
                                  </w:r>
                                </w:p>
                                <w:p w14:paraId="5EF78B77" w14:textId="77777777" w:rsidR="00C25C7D" w:rsidRDefault="00C25C7D" w:rsidP="00C25C7D">
                                  <w:pPr>
                                    <w:contextualSpacing/>
                                    <w:rPr>
                                      <w:sz w:val="20"/>
                                    </w:rPr>
                                  </w:pPr>
                                  <w:r>
                                    <w:rPr>
                                      <w:sz w:val="20"/>
                                    </w:rPr>
                                    <w:t>Theorising for Advanced Practitioners (30 credits) DHM2530</w:t>
                                  </w:r>
                                </w:p>
                                <w:p w14:paraId="59AE3A35" w14:textId="77777777" w:rsidR="00C25C7D" w:rsidRDefault="00C25C7D" w:rsidP="00C25C7D">
                                  <w:pPr>
                                    <w:contextualSpacing/>
                                    <w:rPr>
                                      <w:sz w:val="20"/>
                                    </w:rPr>
                                  </w:pPr>
                                </w:p>
                                <w:p w14:paraId="0BFBE543" w14:textId="77777777" w:rsidR="00C25C7D" w:rsidRPr="00ED24A3" w:rsidRDefault="00C25C7D" w:rsidP="00C25C7D">
                                  <w:pPr>
                                    <w:contextualSpacing/>
                                    <w:rPr>
                                      <w:b/>
                                      <w:sz w:val="20"/>
                                    </w:rPr>
                                  </w:pPr>
                                  <w:r w:rsidRPr="00ED24A3">
                                    <w:rPr>
                                      <w:b/>
                                      <w:sz w:val="20"/>
                                    </w:rPr>
                                    <w:t>Year Long Modules (core)</w:t>
                                  </w:r>
                                </w:p>
                                <w:p w14:paraId="5997054B" w14:textId="77777777" w:rsidR="00C25C7D" w:rsidRDefault="00C25C7D" w:rsidP="00C25C7D">
                                  <w:pPr>
                                    <w:contextualSpacing/>
                                    <w:rPr>
                                      <w:sz w:val="20"/>
                                    </w:rPr>
                                  </w:pPr>
                                  <w:r>
                                    <w:rPr>
                                      <w:sz w:val="20"/>
                                    </w:rPr>
                                    <w:t>Research Methodologies (20 credits) DHM1020</w:t>
                                  </w:r>
                                </w:p>
                                <w:p w14:paraId="11B2F2CE" w14:textId="77777777" w:rsidR="00C25C7D" w:rsidRDefault="00C25C7D" w:rsidP="00C25C7D">
                                  <w:pPr>
                                    <w:contextualSpacing/>
                                    <w:rPr>
                                      <w:sz w:val="20"/>
                                    </w:rPr>
                                  </w:pPr>
                                  <w:r>
                                    <w:rPr>
                                      <w:sz w:val="20"/>
                                    </w:rPr>
                                    <w:t>Major Study (40 credits) DHF2940</w:t>
                                  </w:r>
                                </w:p>
                                <w:p w14:paraId="1919732C" w14:textId="77777777" w:rsidR="00C25C7D" w:rsidRDefault="00C25C7D" w:rsidP="00C25C7D">
                                  <w:pPr>
                                    <w:contextualSpacing/>
                                    <w:rPr>
                                      <w:sz w:val="20"/>
                                    </w:rPr>
                                  </w:pPr>
                                  <w:r>
                                    <w:rPr>
                                      <w:sz w:val="20"/>
                                    </w:rPr>
                                    <w:t>Leadership and Management in Professional Contexts (30 credits) DHJ2230</w:t>
                                  </w:r>
                                </w:p>
                                <w:p w14:paraId="00642A84" w14:textId="77777777" w:rsidR="00C25C7D" w:rsidRPr="00084353"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4FE8" id="Text Box 81" o:spid="_x0000_s1032" type="#_x0000_t202" style="position:absolute;left:0;text-align:left;margin-left:.75pt;margin-top:7pt;width:25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">
                      <v:textbox>
                        <w:txbxContent>
                          <w:p w14:paraId="51F92B1B" w14:textId="77777777" w:rsidR="00C25C7D" w:rsidRPr="00ED24A3" w:rsidRDefault="00C25C7D" w:rsidP="00C25C7D">
                            <w:pPr>
                              <w:contextualSpacing/>
                              <w:rPr>
                                <w:b/>
                                <w:sz w:val="20"/>
                              </w:rPr>
                            </w:pPr>
                            <w:r w:rsidRPr="00ED24A3">
                              <w:rPr>
                                <w:b/>
                                <w:sz w:val="20"/>
                              </w:rPr>
                              <w:t>Year Long Modules (compulsory)</w:t>
                            </w:r>
                          </w:p>
                          <w:p w14:paraId="5EF78B77" w14:textId="77777777" w:rsidR="00C25C7D" w:rsidRDefault="00C25C7D" w:rsidP="00C25C7D">
                            <w:pPr>
                              <w:contextualSpacing/>
                              <w:rPr>
                                <w:sz w:val="20"/>
                              </w:rPr>
                            </w:pPr>
                            <w:r>
                              <w:rPr>
                                <w:sz w:val="20"/>
                              </w:rPr>
                              <w:t>Theorising for Advanced Practitioners (30 credits) DHM2530</w:t>
                            </w:r>
                          </w:p>
                          <w:p w14:paraId="59AE3A35" w14:textId="77777777" w:rsidR="00C25C7D" w:rsidRDefault="00C25C7D" w:rsidP="00C25C7D">
                            <w:pPr>
                              <w:contextualSpacing/>
                              <w:rPr>
                                <w:sz w:val="20"/>
                              </w:rPr>
                            </w:pPr>
                          </w:p>
                          <w:p w14:paraId="0BFBE543" w14:textId="77777777" w:rsidR="00C25C7D" w:rsidRPr="00ED24A3" w:rsidRDefault="00C25C7D" w:rsidP="00C25C7D">
                            <w:pPr>
                              <w:contextualSpacing/>
                              <w:rPr>
                                <w:b/>
                                <w:sz w:val="20"/>
                              </w:rPr>
                            </w:pPr>
                            <w:r w:rsidRPr="00ED24A3">
                              <w:rPr>
                                <w:b/>
                                <w:sz w:val="20"/>
                              </w:rPr>
                              <w:t>Year Long Modules (core)</w:t>
                            </w:r>
                          </w:p>
                          <w:p w14:paraId="5997054B" w14:textId="77777777" w:rsidR="00C25C7D" w:rsidRDefault="00C25C7D" w:rsidP="00C25C7D">
                            <w:pPr>
                              <w:contextualSpacing/>
                              <w:rPr>
                                <w:sz w:val="20"/>
                              </w:rPr>
                            </w:pPr>
                            <w:r>
                              <w:rPr>
                                <w:sz w:val="20"/>
                              </w:rPr>
                              <w:t>Research Methodologies (20 credits) DHM1020</w:t>
                            </w:r>
                          </w:p>
                          <w:p w14:paraId="11B2F2CE" w14:textId="77777777" w:rsidR="00C25C7D" w:rsidRDefault="00C25C7D" w:rsidP="00C25C7D">
                            <w:pPr>
                              <w:contextualSpacing/>
                              <w:rPr>
                                <w:sz w:val="20"/>
                              </w:rPr>
                            </w:pPr>
                            <w:r>
                              <w:rPr>
                                <w:sz w:val="20"/>
                              </w:rPr>
                              <w:t>Major Study (40 credits) DHF2940</w:t>
                            </w:r>
                          </w:p>
                          <w:p w14:paraId="1919732C" w14:textId="77777777" w:rsidR="00C25C7D" w:rsidRDefault="00C25C7D" w:rsidP="00C25C7D">
                            <w:pPr>
                              <w:contextualSpacing/>
                              <w:rPr>
                                <w:sz w:val="20"/>
                              </w:rPr>
                            </w:pPr>
                            <w:r>
                              <w:rPr>
                                <w:sz w:val="20"/>
                              </w:rPr>
                              <w:t>Leadership and Management in Professional Contexts (30 credits) DHJ2230</w:t>
                            </w:r>
                          </w:p>
                          <w:p w14:paraId="00642A84" w14:textId="77777777" w:rsidR="00C25C7D" w:rsidRPr="00084353" w:rsidRDefault="00C25C7D" w:rsidP="00C25C7D">
                            <w:pPr>
                              <w:contextualSpacing/>
                              <w:rPr>
                                <w:sz w:val="20"/>
                              </w:rPr>
                            </w:pPr>
                          </w:p>
                        </w:txbxContent>
                      </v:textbox>
                    </v:shape>
                  </w:pict>
                </mc:Fallback>
              </mc:AlternateContent>
            </w:r>
          </w:p>
        </w:tc>
      </w:tr>
    </w:tbl>
    <w:p w14:paraId="60514332" w14:textId="77777777" w:rsidR="00C25C7D" w:rsidRPr="008B4DA8" w:rsidRDefault="00C25C7D" w:rsidP="00360FB0">
      <w:pPr>
        <w:pStyle w:val="BodyText2"/>
        <w:jc w:val="both"/>
        <w:rPr>
          <w:sz w:val="20"/>
        </w:rPr>
      </w:pPr>
    </w:p>
    <w:p w14:paraId="288BB72C" w14:textId="77777777" w:rsidR="00C25C7D" w:rsidRPr="008B4DA8" w:rsidRDefault="00C25C7D" w:rsidP="00360FB0">
      <w:pPr>
        <w:pStyle w:val="BodyText2"/>
        <w:jc w:val="both"/>
        <w:rPr>
          <w:sz w:val="20"/>
        </w:rPr>
      </w:pPr>
      <w:r w:rsidRPr="008B4DA8">
        <w:rPr>
          <w:sz w:val="20"/>
        </w:rPr>
        <w:t>Distinctive Features (In-Service Students):</w:t>
      </w:r>
    </w:p>
    <w:p w14:paraId="12FEDCF1" w14:textId="77777777" w:rsidR="00C25C7D" w:rsidRPr="008B4DA8" w:rsidRDefault="00C25C7D" w:rsidP="00360FB0">
      <w:pPr>
        <w:pStyle w:val="BodyText2"/>
        <w:jc w:val="both"/>
        <w:rPr>
          <w:b w:val="0"/>
          <w:sz w:val="20"/>
        </w:rPr>
      </w:pPr>
    </w:p>
    <w:p w14:paraId="566EC7BD" w14:textId="77777777" w:rsidR="00C25C7D" w:rsidRPr="008B4DA8" w:rsidRDefault="00C25C7D" w:rsidP="00360FB0">
      <w:pPr>
        <w:jc w:val="both"/>
        <w:rPr>
          <w:sz w:val="20"/>
        </w:rPr>
      </w:pPr>
      <w:r w:rsidRPr="008B4DA8">
        <w:rPr>
          <w:sz w:val="20"/>
        </w:rPr>
        <w:t xml:space="preserve">BA students are in-service students with relevant work placements within youth and community work. </w:t>
      </w:r>
    </w:p>
    <w:p w14:paraId="72F194B8" w14:textId="77777777" w:rsidR="00C25C7D" w:rsidRPr="008B4DA8" w:rsidRDefault="00C25C7D" w:rsidP="00360FB0">
      <w:pPr>
        <w:jc w:val="both"/>
        <w:rPr>
          <w:sz w:val="20"/>
        </w:rPr>
      </w:pPr>
    </w:p>
    <w:p w14:paraId="38E348BC" w14:textId="77777777" w:rsidR="00C25C7D" w:rsidRPr="000D58DE" w:rsidRDefault="00C25C7D" w:rsidP="00360FB0">
      <w:pPr>
        <w:pStyle w:val="BodyText2"/>
        <w:keepLines/>
        <w:jc w:val="both"/>
        <w:rPr>
          <w:b w:val="0"/>
          <w:sz w:val="20"/>
        </w:rPr>
      </w:pPr>
      <w:r w:rsidRPr="000D58DE">
        <w:rPr>
          <w:b w:val="0"/>
          <w:sz w:val="20"/>
        </w:rPr>
        <w:t xml:space="preserve">For formal records, the work-based learning period normally is regarded as starting during the </w:t>
      </w:r>
      <w:r w:rsidR="00B31399" w:rsidRPr="000D58DE">
        <w:rPr>
          <w:b w:val="0"/>
          <w:sz w:val="20"/>
        </w:rPr>
        <w:t xml:space="preserve">first </w:t>
      </w:r>
      <w:r w:rsidRPr="000D58DE">
        <w:rPr>
          <w:b w:val="0"/>
          <w:sz w:val="20"/>
        </w:rPr>
        <w:t xml:space="preserve">week of teaching and continuing for 22 weeks. This gives a total of 220 hours during each of the first three academic years. </w:t>
      </w:r>
    </w:p>
    <w:p w14:paraId="026A31BD" w14:textId="77777777" w:rsidR="00C25C7D" w:rsidRPr="008B4DA8" w:rsidRDefault="00C25C7D" w:rsidP="00360FB0">
      <w:pPr>
        <w:jc w:val="both"/>
        <w:rPr>
          <w:sz w:val="20"/>
        </w:rPr>
      </w:pPr>
    </w:p>
    <w:p w14:paraId="3F02C02E" w14:textId="77777777" w:rsidR="00C25C7D" w:rsidRPr="008B4DA8" w:rsidRDefault="00C25C7D" w:rsidP="00360FB0">
      <w:pPr>
        <w:jc w:val="both"/>
        <w:rPr>
          <w:sz w:val="20"/>
        </w:rPr>
      </w:pPr>
      <w:r w:rsidRPr="008B4DA8">
        <w:rPr>
          <w:sz w:val="20"/>
        </w:rPr>
        <w:t>In-Service BA students undertake a secondary ‘placement’ of 230 hours at an alternative location. Normally this is completed during the fourth year of study and is linked with Honours level outcomes. The secondary placement must take place in a context where students:</w:t>
      </w:r>
    </w:p>
    <w:p w14:paraId="6793781B" w14:textId="77777777" w:rsidR="00C25C7D" w:rsidRPr="008B4DA8" w:rsidRDefault="00C25C7D" w:rsidP="00360FB0">
      <w:pPr>
        <w:jc w:val="both"/>
        <w:rPr>
          <w:sz w:val="20"/>
        </w:rPr>
      </w:pPr>
    </w:p>
    <w:p w14:paraId="1F739B06" w14:textId="77777777" w:rsidR="00C25C7D" w:rsidRPr="008B4DA8" w:rsidRDefault="00C25C7D" w:rsidP="00BC6421">
      <w:pPr>
        <w:numPr>
          <w:ilvl w:val="0"/>
          <w:numId w:val="14"/>
        </w:numPr>
        <w:jc w:val="both"/>
        <w:rPr>
          <w:sz w:val="20"/>
        </w:rPr>
      </w:pPr>
      <w:r w:rsidRPr="008B4DA8">
        <w:rPr>
          <w:sz w:val="20"/>
        </w:rPr>
        <w:t>Experience different organisational structures and arrangements.</w:t>
      </w:r>
    </w:p>
    <w:p w14:paraId="310EE848" w14:textId="77777777" w:rsidR="00C25C7D" w:rsidRPr="008B4DA8" w:rsidRDefault="00C25C7D" w:rsidP="00360FB0">
      <w:pPr>
        <w:jc w:val="both"/>
        <w:rPr>
          <w:sz w:val="20"/>
        </w:rPr>
      </w:pPr>
    </w:p>
    <w:p w14:paraId="23F1E75A" w14:textId="77777777" w:rsidR="00C25C7D" w:rsidRPr="008B4DA8" w:rsidRDefault="00C25C7D" w:rsidP="00BC6421">
      <w:pPr>
        <w:numPr>
          <w:ilvl w:val="0"/>
          <w:numId w:val="14"/>
        </w:numPr>
        <w:jc w:val="both"/>
        <w:rPr>
          <w:sz w:val="20"/>
        </w:rPr>
      </w:pPr>
      <w:r w:rsidRPr="008B4DA8">
        <w:rPr>
          <w:sz w:val="20"/>
        </w:rPr>
        <w:t>Follow a programme of work which is new and challenging.</w:t>
      </w:r>
    </w:p>
    <w:p w14:paraId="12452F54" w14:textId="77777777" w:rsidR="00C25C7D" w:rsidRPr="008B4DA8" w:rsidRDefault="00C25C7D" w:rsidP="00360FB0">
      <w:pPr>
        <w:jc w:val="both"/>
        <w:rPr>
          <w:sz w:val="20"/>
        </w:rPr>
      </w:pPr>
    </w:p>
    <w:p w14:paraId="033575DF" w14:textId="77777777" w:rsidR="00C25C7D" w:rsidRPr="008B4DA8" w:rsidRDefault="00C25C7D" w:rsidP="00BC6421">
      <w:pPr>
        <w:numPr>
          <w:ilvl w:val="0"/>
          <w:numId w:val="14"/>
        </w:numPr>
        <w:jc w:val="both"/>
        <w:rPr>
          <w:sz w:val="20"/>
        </w:rPr>
      </w:pPr>
      <w:r w:rsidRPr="008B4DA8">
        <w:rPr>
          <w:sz w:val="20"/>
        </w:rPr>
        <w:t>Have a different supervisor (aka mentor) and line manager.</w:t>
      </w:r>
    </w:p>
    <w:p w14:paraId="34F7A303" w14:textId="77777777" w:rsidR="00C25C7D" w:rsidRPr="008B4DA8" w:rsidRDefault="00C25C7D" w:rsidP="00360FB0">
      <w:pPr>
        <w:jc w:val="both"/>
        <w:rPr>
          <w:sz w:val="20"/>
        </w:rPr>
      </w:pPr>
    </w:p>
    <w:p w14:paraId="1B356A02" w14:textId="77777777" w:rsidR="00C25C7D" w:rsidRPr="008B4DA8" w:rsidRDefault="00C25C7D" w:rsidP="00BC6421">
      <w:pPr>
        <w:numPr>
          <w:ilvl w:val="0"/>
          <w:numId w:val="14"/>
        </w:numPr>
        <w:jc w:val="both"/>
        <w:rPr>
          <w:sz w:val="20"/>
        </w:rPr>
      </w:pPr>
      <w:r w:rsidRPr="008B4DA8">
        <w:rPr>
          <w:sz w:val="20"/>
        </w:rPr>
        <w:t>Are located with a different employer (the only exception may be made where a move within a large organisation such as a local authority is justifiable and the only feasible alternative).</w:t>
      </w:r>
    </w:p>
    <w:p w14:paraId="6B3096E1" w14:textId="77777777" w:rsidR="00C25C7D" w:rsidRPr="008B4DA8" w:rsidRDefault="00C25C7D" w:rsidP="00360FB0">
      <w:pPr>
        <w:pStyle w:val="ColorfulList-Accent1"/>
        <w:jc w:val="both"/>
        <w:rPr>
          <w:sz w:val="20"/>
        </w:rPr>
      </w:pPr>
    </w:p>
    <w:tbl>
      <w:tblPr>
        <w:tblW w:w="898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4"/>
      </w:tblGrid>
      <w:tr w:rsidR="00C25C7D" w:rsidRPr="008B4DA8" w14:paraId="2E607468" w14:textId="77777777">
        <w:trPr>
          <w:trHeight w:val="3945"/>
        </w:trPr>
        <w:tc>
          <w:tcPr>
            <w:tcW w:w="8984" w:type="dxa"/>
          </w:tcPr>
          <w:p w14:paraId="421932DE" w14:textId="77777777" w:rsidR="00C25C7D" w:rsidRPr="008B4DA8" w:rsidRDefault="00C25C7D" w:rsidP="00360FB0">
            <w:pPr>
              <w:ind w:left="195"/>
              <w:jc w:val="both"/>
              <w:rPr>
                <w:b/>
                <w:sz w:val="20"/>
              </w:rPr>
            </w:pPr>
          </w:p>
          <w:p w14:paraId="5BC155AC" w14:textId="1274260C" w:rsidR="00C25C7D" w:rsidRPr="008B4DA8" w:rsidRDefault="005B6895" w:rsidP="00360FB0">
            <w:pPr>
              <w:ind w:left="195"/>
              <w:jc w:val="both"/>
              <w:rPr>
                <w:b/>
                <w:sz w:val="20"/>
              </w:rPr>
            </w:pPr>
            <w:r w:rsidRPr="008B4DA8">
              <w:rPr>
                <w:b/>
                <w:noProof/>
                <w:sz w:val="20"/>
              </w:rPr>
              <mc:AlternateContent>
                <mc:Choice Requires="wps">
                  <w:drawing>
                    <wp:anchor distT="0" distB="0" distL="114300" distR="114300" simplePos="0" relativeHeight="251659776" behindDoc="0" locked="0" layoutInCell="1" allowOverlap="1" wp14:anchorId="2BBF47D5" wp14:editId="2D96EFA4">
                      <wp:simplePos x="0" y="0"/>
                      <wp:positionH relativeFrom="column">
                        <wp:posOffset>3495675</wp:posOffset>
                      </wp:positionH>
                      <wp:positionV relativeFrom="paragraph">
                        <wp:posOffset>257175</wp:posOffset>
                      </wp:positionV>
                      <wp:extent cx="2000250" cy="1762125"/>
                      <wp:effectExtent l="0" t="0" r="0" b="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62125"/>
                              </a:xfrm>
                              <a:prstGeom prst="rect">
                                <a:avLst/>
                              </a:prstGeom>
                              <a:solidFill>
                                <a:srgbClr val="FFFFFF"/>
                              </a:solidFill>
                              <a:ln w="9525">
                                <a:solidFill>
                                  <a:srgbClr val="000000"/>
                                </a:solidFill>
                                <a:miter lim="800000"/>
                                <a:headEnd/>
                                <a:tailEnd/>
                              </a:ln>
                            </wps:spPr>
                            <wps:txbx>
                              <w:txbxContent>
                                <w:p w14:paraId="605CF06D" w14:textId="77777777" w:rsidR="00C25C7D" w:rsidRPr="00ED24A3" w:rsidRDefault="00C25C7D" w:rsidP="00C25C7D">
                                  <w:pPr>
                                    <w:contextualSpacing/>
                                    <w:rPr>
                                      <w:b/>
                                      <w:sz w:val="20"/>
                                    </w:rPr>
                                  </w:pPr>
                                  <w:r w:rsidRPr="00ED24A3">
                                    <w:rPr>
                                      <w:b/>
                                      <w:sz w:val="20"/>
                                    </w:rPr>
                                    <w:t>Progression requirements</w:t>
                                  </w:r>
                                </w:p>
                                <w:p w14:paraId="68806760" w14:textId="77777777" w:rsidR="00C25C7D" w:rsidRDefault="00C25C7D" w:rsidP="00C25C7D">
                                  <w:pPr>
                                    <w:contextualSpacing/>
                                    <w:rPr>
                                      <w:sz w:val="20"/>
                                    </w:rPr>
                                  </w:pPr>
                                  <w:r>
                                    <w:rPr>
                                      <w:sz w:val="20"/>
                                    </w:rPr>
                                    <w:t>A minimum of 60 credits for progressions</w:t>
                                  </w:r>
                                </w:p>
                                <w:p w14:paraId="210ACFA7" w14:textId="77777777" w:rsidR="00C25C7D" w:rsidRDefault="00C25C7D" w:rsidP="00C25C7D">
                                  <w:pPr>
                                    <w:contextualSpacing/>
                                    <w:rPr>
                                      <w:sz w:val="20"/>
                                    </w:rPr>
                                  </w:pPr>
                                </w:p>
                                <w:p w14:paraId="36CD0439" w14:textId="77777777" w:rsidR="00C25C7D" w:rsidRPr="00F055B4"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47D5" id="Text Box 84" o:spid="_x0000_s1033" type="#_x0000_t202" style="position:absolute;left:0;text-align:left;margin-left:275.25pt;margin-top:20.25pt;width:157.5pt;height:13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">
                      <v:textbox>
                        <w:txbxContent>
                          <w:p w14:paraId="605CF06D" w14:textId="77777777" w:rsidR="00C25C7D" w:rsidRPr="00ED24A3" w:rsidRDefault="00C25C7D" w:rsidP="00C25C7D">
                            <w:pPr>
                              <w:contextualSpacing/>
                              <w:rPr>
                                <w:b/>
                                <w:sz w:val="20"/>
                              </w:rPr>
                            </w:pPr>
                            <w:r w:rsidRPr="00ED24A3">
                              <w:rPr>
                                <w:b/>
                                <w:sz w:val="20"/>
                              </w:rPr>
                              <w:t>Progression requirements</w:t>
                            </w:r>
                          </w:p>
                          <w:p w14:paraId="68806760" w14:textId="77777777" w:rsidR="00C25C7D" w:rsidRDefault="00C25C7D" w:rsidP="00C25C7D">
                            <w:pPr>
                              <w:contextualSpacing/>
                              <w:rPr>
                                <w:sz w:val="20"/>
                              </w:rPr>
                            </w:pPr>
                            <w:r>
                              <w:rPr>
                                <w:sz w:val="20"/>
                              </w:rPr>
                              <w:t>A minimum of 60 credits for progressions</w:t>
                            </w:r>
                          </w:p>
                          <w:p w14:paraId="210ACFA7" w14:textId="77777777" w:rsidR="00C25C7D" w:rsidRDefault="00C25C7D" w:rsidP="00C25C7D">
                            <w:pPr>
                              <w:contextualSpacing/>
                              <w:rPr>
                                <w:sz w:val="20"/>
                              </w:rPr>
                            </w:pPr>
                          </w:p>
                          <w:p w14:paraId="36CD0439" w14:textId="77777777" w:rsidR="00C25C7D" w:rsidRPr="00F055B4" w:rsidRDefault="00C25C7D" w:rsidP="00C25C7D">
                            <w:pPr>
                              <w:contextualSpacing/>
                              <w:rPr>
                                <w:sz w:val="20"/>
                              </w:rPr>
                            </w:pPr>
                          </w:p>
                        </w:txbxContent>
                      </v:textbox>
                    </v:shape>
                  </w:pict>
                </mc:Fallback>
              </mc:AlternateContent>
            </w:r>
            <w:r w:rsidRPr="008B4DA8">
              <w:rPr>
                <w:b/>
                <w:noProof/>
                <w:sz w:val="20"/>
              </w:rPr>
              <mc:AlternateContent>
                <mc:Choice Requires="wps">
                  <w:drawing>
                    <wp:anchor distT="0" distB="0" distL="114300" distR="114300" simplePos="0" relativeHeight="251658752" behindDoc="0" locked="0" layoutInCell="1" allowOverlap="1" wp14:anchorId="643373F8" wp14:editId="4928B224">
                      <wp:simplePos x="0" y="0"/>
                      <wp:positionH relativeFrom="column">
                        <wp:posOffset>9525</wp:posOffset>
                      </wp:positionH>
                      <wp:positionV relativeFrom="paragraph">
                        <wp:posOffset>257175</wp:posOffset>
                      </wp:positionV>
                      <wp:extent cx="3238500" cy="144780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47800"/>
                              </a:xfrm>
                              <a:prstGeom prst="rect">
                                <a:avLst/>
                              </a:prstGeom>
                              <a:solidFill>
                                <a:srgbClr val="FFFFFF"/>
                              </a:solidFill>
                              <a:ln w="9525">
                                <a:solidFill>
                                  <a:srgbClr val="000000"/>
                                </a:solidFill>
                                <a:miter lim="800000"/>
                                <a:headEnd/>
                                <a:tailEnd/>
                              </a:ln>
                            </wps:spPr>
                            <wps:txbx>
                              <w:txbxContent>
                                <w:p w14:paraId="7C21763F" w14:textId="77777777" w:rsidR="00C25C7D" w:rsidRPr="00ED24A3" w:rsidRDefault="00C25C7D" w:rsidP="00C25C7D">
                                  <w:pPr>
                                    <w:contextualSpacing/>
                                    <w:rPr>
                                      <w:b/>
                                      <w:sz w:val="20"/>
                                    </w:rPr>
                                  </w:pPr>
                                  <w:r w:rsidRPr="00ED24A3">
                                    <w:rPr>
                                      <w:b/>
                                      <w:sz w:val="20"/>
                                    </w:rPr>
                                    <w:t>Year Long Modules (compulsory)</w:t>
                                  </w:r>
                                </w:p>
                                <w:p w14:paraId="2AC243DA" w14:textId="77777777" w:rsidR="00C25C7D" w:rsidRDefault="00C25C7D" w:rsidP="00C25C7D">
                                  <w:pPr>
                                    <w:contextualSpacing/>
                                    <w:rPr>
                                      <w:sz w:val="20"/>
                                    </w:rPr>
                                  </w:pPr>
                                  <w:r>
                                    <w:rPr>
                                      <w:sz w:val="20"/>
                                    </w:rPr>
                                    <w:t>Foundations fo</w:t>
                                  </w:r>
                                  <w:r w:rsidR="008E0DB1">
                                    <w:rPr>
                                      <w:sz w:val="20"/>
                                    </w:rPr>
                                    <w:t>r Practice (30 credits) DFU1335</w:t>
                                  </w:r>
                                </w:p>
                                <w:p w14:paraId="79B1CA7F" w14:textId="77777777" w:rsidR="00C25C7D" w:rsidRDefault="00C25C7D" w:rsidP="00C25C7D">
                                  <w:pPr>
                                    <w:contextualSpacing/>
                                    <w:rPr>
                                      <w:sz w:val="20"/>
                                    </w:rPr>
                                  </w:pPr>
                                </w:p>
                                <w:p w14:paraId="34B27534" w14:textId="77777777" w:rsidR="00C25C7D" w:rsidRPr="00ED24A3" w:rsidRDefault="00C25C7D" w:rsidP="00C25C7D">
                                  <w:pPr>
                                    <w:contextualSpacing/>
                                    <w:rPr>
                                      <w:b/>
                                      <w:sz w:val="20"/>
                                    </w:rPr>
                                  </w:pPr>
                                  <w:r w:rsidRPr="00ED24A3">
                                    <w:rPr>
                                      <w:b/>
                                      <w:sz w:val="20"/>
                                    </w:rPr>
                                    <w:t>Year Long Modules (core)</w:t>
                                  </w:r>
                                </w:p>
                                <w:p w14:paraId="3D472A87" w14:textId="77777777" w:rsidR="00C25C7D" w:rsidRDefault="00C25C7D" w:rsidP="00C25C7D">
                                  <w:pPr>
                                    <w:contextualSpacing/>
                                    <w:rPr>
                                      <w:sz w:val="20"/>
                                    </w:rPr>
                                  </w:pPr>
                                  <w:r>
                                    <w:rPr>
                                      <w:sz w:val="20"/>
                                    </w:rPr>
                                    <w:t xml:space="preserve">Self, Society </w:t>
                                  </w:r>
                                  <w:r w:rsidR="008E0DB1">
                                    <w:rPr>
                                      <w:sz w:val="20"/>
                                    </w:rPr>
                                    <w:t>and Welfare (30 credits) DFM1235</w:t>
                                  </w:r>
                                </w:p>
                                <w:p w14:paraId="6E374053" w14:textId="77777777" w:rsidR="00C25C7D" w:rsidRDefault="00C25C7D" w:rsidP="00C25C7D">
                                  <w:pPr>
                                    <w:contextualSpacing/>
                                    <w:rPr>
                                      <w:sz w:val="20"/>
                                    </w:rPr>
                                  </w:pPr>
                                  <w:r>
                                    <w:rPr>
                                      <w:sz w:val="20"/>
                                    </w:rPr>
                                    <w:t>Theories and Strategies f</w:t>
                                  </w:r>
                                  <w:r w:rsidR="008E0DB1">
                                    <w:rPr>
                                      <w:sz w:val="20"/>
                                    </w:rPr>
                                    <w:t>or Learning (30 credits) DFM1035</w:t>
                                  </w:r>
                                </w:p>
                                <w:p w14:paraId="58ABB4B3" w14:textId="77777777" w:rsidR="00C25C7D" w:rsidRPr="00084353"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73F8" id="Text Box 83" o:spid="_x0000_s1034" type="#_x0000_t202" style="position:absolute;left:0;text-align:left;margin-left:.75pt;margin-top:20.25pt;width:25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KJLAIAAFk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">
                      <v:textbox>
                        <w:txbxContent>
                          <w:p w14:paraId="7C21763F" w14:textId="77777777" w:rsidR="00C25C7D" w:rsidRPr="00ED24A3" w:rsidRDefault="00C25C7D" w:rsidP="00C25C7D">
                            <w:pPr>
                              <w:contextualSpacing/>
                              <w:rPr>
                                <w:b/>
                                <w:sz w:val="20"/>
                              </w:rPr>
                            </w:pPr>
                            <w:r w:rsidRPr="00ED24A3">
                              <w:rPr>
                                <w:b/>
                                <w:sz w:val="20"/>
                              </w:rPr>
                              <w:t>Year Long Modules (compulsory)</w:t>
                            </w:r>
                          </w:p>
                          <w:p w14:paraId="2AC243DA" w14:textId="77777777" w:rsidR="00C25C7D" w:rsidRDefault="00C25C7D" w:rsidP="00C25C7D">
                            <w:pPr>
                              <w:contextualSpacing/>
                              <w:rPr>
                                <w:sz w:val="20"/>
                              </w:rPr>
                            </w:pPr>
                            <w:r>
                              <w:rPr>
                                <w:sz w:val="20"/>
                              </w:rPr>
                              <w:t>Foundations fo</w:t>
                            </w:r>
                            <w:r w:rsidR="008E0DB1">
                              <w:rPr>
                                <w:sz w:val="20"/>
                              </w:rPr>
                              <w:t>r Practice (30 credits) DFU1335</w:t>
                            </w:r>
                          </w:p>
                          <w:p w14:paraId="79B1CA7F" w14:textId="77777777" w:rsidR="00C25C7D" w:rsidRDefault="00C25C7D" w:rsidP="00C25C7D">
                            <w:pPr>
                              <w:contextualSpacing/>
                              <w:rPr>
                                <w:sz w:val="20"/>
                              </w:rPr>
                            </w:pPr>
                          </w:p>
                          <w:p w14:paraId="34B27534" w14:textId="77777777" w:rsidR="00C25C7D" w:rsidRPr="00ED24A3" w:rsidRDefault="00C25C7D" w:rsidP="00C25C7D">
                            <w:pPr>
                              <w:contextualSpacing/>
                              <w:rPr>
                                <w:b/>
                                <w:sz w:val="20"/>
                              </w:rPr>
                            </w:pPr>
                            <w:r w:rsidRPr="00ED24A3">
                              <w:rPr>
                                <w:b/>
                                <w:sz w:val="20"/>
                              </w:rPr>
                              <w:t>Year Long Modules (core)</w:t>
                            </w:r>
                          </w:p>
                          <w:p w14:paraId="3D472A87" w14:textId="77777777" w:rsidR="00C25C7D" w:rsidRDefault="00C25C7D" w:rsidP="00C25C7D">
                            <w:pPr>
                              <w:contextualSpacing/>
                              <w:rPr>
                                <w:sz w:val="20"/>
                              </w:rPr>
                            </w:pPr>
                            <w:r>
                              <w:rPr>
                                <w:sz w:val="20"/>
                              </w:rPr>
                              <w:t xml:space="preserve">Self, Society </w:t>
                            </w:r>
                            <w:r w:rsidR="008E0DB1">
                              <w:rPr>
                                <w:sz w:val="20"/>
                              </w:rPr>
                              <w:t>and Welfare (30 credits) DFM1235</w:t>
                            </w:r>
                          </w:p>
                          <w:p w14:paraId="6E374053" w14:textId="77777777" w:rsidR="00C25C7D" w:rsidRDefault="00C25C7D" w:rsidP="00C25C7D">
                            <w:pPr>
                              <w:contextualSpacing/>
                              <w:rPr>
                                <w:sz w:val="20"/>
                              </w:rPr>
                            </w:pPr>
                            <w:r>
                              <w:rPr>
                                <w:sz w:val="20"/>
                              </w:rPr>
                              <w:t>Theories and Strategies f</w:t>
                            </w:r>
                            <w:r w:rsidR="008E0DB1">
                              <w:rPr>
                                <w:sz w:val="20"/>
                              </w:rPr>
                              <w:t>or Learning (30 credits) DFM1035</w:t>
                            </w:r>
                          </w:p>
                          <w:p w14:paraId="58ABB4B3" w14:textId="77777777" w:rsidR="00C25C7D" w:rsidRPr="00084353" w:rsidRDefault="00C25C7D" w:rsidP="00C25C7D">
                            <w:pPr>
                              <w:contextualSpacing/>
                              <w:rPr>
                                <w:sz w:val="20"/>
                              </w:rPr>
                            </w:pPr>
                          </w:p>
                        </w:txbxContent>
                      </v:textbox>
                    </v:shape>
                  </w:pict>
                </mc:Fallback>
              </mc:AlternateContent>
            </w:r>
            <w:r w:rsidR="00C25C7D" w:rsidRPr="008B4DA8">
              <w:rPr>
                <w:b/>
                <w:sz w:val="20"/>
              </w:rPr>
              <w:t>Year 1 [Foundation level]</w:t>
            </w:r>
          </w:p>
          <w:p w14:paraId="23009E53" w14:textId="77777777" w:rsidR="00C25C7D" w:rsidRPr="008B4DA8" w:rsidRDefault="00C25C7D" w:rsidP="00360FB0">
            <w:pPr>
              <w:ind w:left="195"/>
              <w:jc w:val="both"/>
              <w:rPr>
                <w:sz w:val="20"/>
              </w:rPr>
            </w:pPr>
          </w:p>
          <w:p w14:paraId="69C68CC6" w14:textId="77777777" w:rsidR="00C25C7D" w:rsidRPr="008B4DA8" w:rsidRDefault="00C25C7D" w:rsidP="00360FB0">
            <w:pPr>
              <w:ind w:left="195"/>
              <w:jc w:val="both"/>
              <w:rPr>
                <w:sz w:val="20"/>
              </w:rPr>
            </w:pPr>
          </w:p>
          <w:p w14:paraId="011371BC" w14:textId="77777777" w:rsidR="00C25C7D" w:rsidRPr="008B4DA8" w:rsidRDefault="00C25C7D" w:rsidP="00360FB0">
            <w:pPr>
              <w:ind w:left="195"/>
              <w:jc w:val="both"/>
              <w:rPr>
                <w:sz w:val="20"/>
              </w:rPr>
            </w:pPr>
          </w:p>
          <w:p w14:paraId="61FED8B1" w14:textId="77777777" w:rsidR="00C25C7D" w:rsidRPr="008B4DA8" w:rsidRDefault="00C25C7D" w:rsidP="00360FB0">
            <w:pPr>
              <w:ind w:left="195"/>
              <w:jc w:val="both"/>
              <w:rPr>
                <w:sz w:val="20"/>
              </w:rPr>
            </w:pPr>
          </w:p>
          <w:p w14:paraId="08CBDC44" w14:textId="77777777" w:rsidR="00C25C7D" w:rsidRPr="008B4DA8" w:rsidRDefault="00C25C7D" w:rsidP="00360FB0">
            <w:pPr>
              <w:ind w:left="195"/>
              <w:jc w:val="both"/>
              <w:rPr>
                <w:sz w:val="20"/>
              </w:rPr>
            </w:pPr>
          </w:p>
          <w:p w14:paraId="0FCDD31B" w14:textId="77777777" w:rsidR="00C25C7D" w:rsidRPr="008B4DA8" w:rsidRDefault="00C25C7D" w:rsidP="00360FB0">
            <w:pPr>
              <w:ind w:left="195"/>
              <w:jc w:val="both"/>
              <w:rPr>
                <w:sz w:val="20"/>
              </w:rPr>
            </w:pPr>
          </w:p>
          <w:p w14:paraId="66286156" w14:textId="77777777" w:rsidR="00C25C7D" w:rsidRPr="008B4DA8" w:rsidRDefault="00C25C7D" w:rsidP="00360FB0">
            <w:pPr>
              <w:ind w:left="195"/>
              <w:jc w:val="both"/>
              <w:rPr>
                <w:sz w:val="20"/>
              </w:rPr>
            </w:pPr>
          </w:p>
          <w:p w14:paraId="362B18BA" w14:textId="77777777" w:rsidR="00C25C7D" w:rsidRPr="008B4DA8" w:rsidRDefault="00C25C7D" w:rsidP="00360FB0">
            <w:pPr>
              <w:ind w:left="195"/>
              <w:jc w:val="both"/>
              <w:rPr>
                <w:b/>
                <w:sz w:val="20"/>
              </w:rPr>
            </w:pPr>
          </w:p>
        </w:tc>
      </w:tr>
      <w:tr w:rsidR="00C25C7D" w:rsidRPr="008B4DA8" w14:paraId="44A0FA85" w14:textId="77777777" w:rsidTr="008F510C">
        <w:trPr>
          <w:trHeight w:val="3542"/>
        </w:trPr>
        <w:tc>
          <w:tcPr>
            <w:tcW w:w="8984" w:type="dxa"/>
          </w:tcPr>
          <w:p w14:paraId="455E95A5" w14:textId="77777777" w:rsidR="00C25C7D" w:rsidRPr="008B4DA8" w:rsidRDefault="00C25C7D" w:rsidP="00360FB0">
            <w:pPr>
              <w:ind w:left="195"/>
              <w:jc w:val="both"/>
              <w:rPr>
                <w:b/>
                <w:sz w:val="20"/>
              </w:rPr>
            </w:pPr>
          </w:p>
          <w:p w14:paraId="589FA8F1" w14:textId="77777777" w:rsidR="00C25C7D" w:rsidRPr="008B4DA8" w:rsidRDefault="00C25C7D" w:rsidP="00360FB0">
            <w:pPr>
              <w:ind w:left="195"/>
              <w:jc w:val="both"/>
              <w:rPr>
                <w:b/>
                <w:sz w:val="20"/>
              </w:rPr>
            </w:pPr>
            <w:r w:rsidRPr="008B4DA8">
              <w:rPr>
                <w:b/>
                <w:sz w:val="20"/>
              </w:rPr>
              <w:t>Year 2 [Foundation level + Intermediate level]</w:t>
            </w:r>
          </w:p>
          <w:p w14:paraId="002102C4" w14:textId="1351866B" w:rsidR="00C25C7D" w:rsidRPr="008B4DA8" w:rsidRDefault="005B6895" w:rsidP="00360FB0">
            <w:pPr>
              <w:ind w:left="195"/>
              <w:jc w:val="both"/>
              <w:rPr>
                <w:sz w:val="20"/>
              </w:rPr>
            </w:pPr>
            <w:r w:rsidRPr="008B4DA8">
              <w:rPr>
                <w:b/>
                <w:noProof/>
                <w:sz w:val="20"/>
              </w:rPr>
              <mc:AlternateContent>
                <mc:Choice Requires="wps">
                  <w:drawing>
                    <wp:anchor distT="0" distB="0" distL="114300" distR="114300" simplePos="0" relativeHeight="251661824" behindDoc="0" locked="0" layoutInCell="1" allowOverlap="1" wp14:anchorId="24F4D6C6" wp14:editId="07459428">
                      <wp:simplePos x="0" y="0"/>
                      <wp:positionH relativeFrom="column">
                        <wp:posOffset>3495675</wp:posOffset>
                      </wp:positionH>
                      <wp:positionV relativeFrom="paragraph">
                        <wp:posOffset>111125</wp:posOffset>
                      </wp:positionV>
                      <wp:extent cx="2000250" cy="1755140"/>
                      <wp:effectExtent l="0" t="0" r="0" b="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55140"/>
                              </a:xfrm>
                              <a:prstGeom prst="rect">
                                <a:avLst/>
                              </a:prstGeom>
                              <a:solidFill>
                                <a:srgbClr val="FFFFFF"/>
                              </a:solidFill>
                              <a:ln w="9525">
                                <a:solidFill>
                                  <a:srgbClr val="000000"/>
                                </a:solidFill>
                                <a:miter lim="800000"/>
                                <a:headEnd/>
                                <a:tailEnd/>
                              </a:ln>
                            </wps:spPr>
                            <wps:txbx>
                              <w:txbxContent>
                                <w:p w14:paraId="0CB110DB" w14:textId="77777777" w:rsidR="00C25C7D" w:rsidRPr="00ED24A3" w:rsidRDefault="00C25C7D" w:rsidP="00C25C7D">
                                  <w:pPr>
                                    <w:contextualSpacing/>
                                    <w:rPr>
                                      <w:b/>
                                      <w:sz w:val="20"/>
                                    </w:rPr>
                                  </w:pPr>
                                  <w:r w:rsidRPr="00ED24A3">
                                    <w:rPr>
                                      <w:b/>
                                      <w:sz w:val="20"/>
                                    </w:rPr>
                                    <w:t>Progression requirements</w:t>
                                  </w:r>
                                </w:p>
                                <w:p w14:paraId="7FE05B06" w14:textId="77777777" w:rsidR="00C25C7D" w:rsidRDefault="00C25C7D" w:rsidP="00C25C7D">
                                  <w:pPr>
                                    <w:contextualSpacing/>
                                    <w:rPr>
                                      <w:sz w:val="20"/>
                                    </w:rPr>
                                  </w:pPr>
                                  <w:r>
                                    <w:rPr>
                                      <w:sz w:val="20"/>
                                    </w:rPr>
                                    <w:t>A minimum of 150 credits for progression.</w:t>
                                  </w:r>
                                </w:p>
                                <w:p w14:paraId="5D110198" w14:textId="77777777" w:rsidR="00C25C7D" w:rsidRDefault="00C25C7D" w:rsidP="00C25C7D">
                                  <w:pPr>
                                    <w:contextualSpacing/>
                                    <w:rPr>
                                      <w:sz w:val="20"/>
                                    </w:rPr>
                                  </w:pPr>
                                </w:p>
                                <w:p w14:paraId="70770D57" w14:textId="77777777" w:rsidR="00C25C7D" w:rsidRPr="00F055B4" w:rsidRDefault="00C25C7D" w:rsidP="00C25C7D">
                                  <w:pPr>
                                    <w:contextualSpacing/>
                                    <w:rPr>
                                      <w:sz w:val="20"/>
                                    </w:rPr>
                                  </w:pPr>
                                  <w:r>
                                    <w:rPr>
                                      <w:sz w:val="20"/>
                                    </w:rPr>
                                    <w:t>A minimum of 120 credits for the award of Certificate in Higher Education (this is an academic qualifications and does not provide any form of vocational qualification) (unnamed).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D6C6" id="Text Box 86" o:spid="_x0000_s1035" type="#_x0000_t202" style="position:absolute;left:0;text-align:left;margin-left:275.25pt;margin-top:8.75pt;width:157.5pt;height:1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">
                      <v:textbox>
                        <w:txbxContent>
                          <w:p w14:paraId="0CB110DB" w14:textId="77777777" w:rsidR="00C25C7D" w:rsidRPr="00ED24A3" w:rsidRDefault="00C25C7D" w:rsidP="00C25C7D">
                            <w:pPr>
                              <w:contextualSpacing/>
                              <w:rPr>
                                <w:b/>
                                <w:sz w:val="20"/>
                              </w:rPr>
                            </w:pPr>
                            <w:r w:rsidRPr="00ED24A3">
                              <w:rPr>
                                <w:b/>
                                <w:sz w:val="20"/>
                              </w:rPr>
                              <w:t>Progression requirements</w:t>
                            </w:r>
                          </w:p>
                          <w:p w14:paraId="7FE05B06" w14:textId="77777777" w:rsidR="00C25C7D" w:rsidRDefault="00C25C7D" w:rsidP="00C25C7D">
                            <w:pPr>
                              <w:contextualSpacing/>
                              <w:rPr>
                                <w:sz w:val="20"/>
                              </w:rPr>
                            </w:pPr>
                            <w:r>
                              <w:rPr>
                                <w:sz w:val="20"/>
                              </w:rPr>
                              <w:t>A minimum of 150 credits for progression.</w:t>
                            </w:r>
                          </w:p>
                          <w:p w14:paraId="5D110198" w14:textId="77777777" w:rsidR="00C25C7D" w:rsidRDefault="00C25C7D" w:rsidP="00C25C7D">
                            <w:pPr>
                              <w:contextualSpacing/>
                              <w:rPr>
                                <w:sz w:val="20"/>
                              </w:rPr>
                            </w:pPr>
                          </w:p>
                          <w:p w14:paraId="70770D57" w14:textId="77777777" w:rsidR="00C25C7D" w:rsidRPr="00F055B4" w:rsidRDefault="00C25C7D" w:rsidP="00C25C7D">
                            <w:pPr>
                              <w:contextualSpacing/>
                              <w:rPr>
                                <w:sz w:val="20"/>
                              </w:rPr>
                            </w:pPr>
                            <w:r>
                              <w:rPr>
                                <w:sz w:val="20"/>
                              </w:rPr>
                              <w:t>A minimum of 120 credits for the award of Certificate in Higher Education (this is an academic qualifications and does not provide any form of vocational qualification) (unnamed).</w:t>
                            </w:r>
                          </w:p>
                        </w:txbxContent>
                      </v:textbox>
                    </v:shape>
                  </w:pict>
                </mc:Fallback>
              </mc:AlternateContent>
            </w:r>
            <w:r w:rsidRPr="008B4DA8">
              <w:rPr>
                <w:b/>
                <w:noProof/>
                <w:sz w:val="20"/>
              </w:rPr>
              <mc:AlternateContent>
                <mc:Choice Requires="wps">
                  <w:drawing>
                    <wp:anchor distT="0" distB="0" distL="114300" distR="114300" simplePos="0" relativeHeight="251660800" behindDoc="0" locked="0" layoutInCell="1" allowOverlap="1" wp14:anchorId="5FE03010" wp14:editId="5C8F9C0D">
                      <wp:simplePos x="0" y="0"/>
                      <wp:positionH relativeFrom="column">
                        <wp:posOffset>9525</wp:posOffset>
                      </wp:positionH>
                      <wp:positionV relativeFrom="paragraph">
                        <wp:posOffset>49530</wp:posOffset>
                      </wp:positionV>
                      <wp:extent cx="3238500" cy="1400175"/>
                      <wp:effectExtent l="0" t="0" r="0"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0175"/>
                              </a:xfrm>
                              <a:prstGeom prst="rect">
                                <a:avLst/>
                              </a:prstGeom>
                              <a:solidFill>
                                <a:srgbClr val="FFFFFF"/>
                              </a:solidFill>
                              <a:ln w="9525">
                                <a:solidFill>
                                  <a:srgbClr val="000000"/>
                                </a:solidFill>
                                <a:miter lim="800000"/>
                                <a:headEnd/>
                                <a:tailEnd/>
                              </a:ln>
                            </wps:spPr>
                            <wps:txbx>
                              <w:txbxContent>
                                <w:p w14:paraId="35207B7F" w14:textId="77777777" w:rsidR="00C25C7D" w:rsidRDefault="00C25C7D" w:rsidP="00C25C7D">
                                  <w:pPr>
                                    <w:contextualSpacing/>
                                    <w:rPr>
                                      <w:b/>
                                      <w:sz w:val="20"/>
                                    </w:rPr>
                                  </w:pPr>
                                  <w:r w:rsidRPr="00ED24A3">
                                    <w:rPr>
                                      <w:b/>
                                      <w:sz w:val="20"/>
                                    </w:rPr>
                                    <w:t>Year Long Modules (compulsory)</w:t>
                                  </w:r>
                                </w:p>
                                <w:p w14:paraId="3A2E9300" w14:textId="77777777" w:rsidR="0074556D" w:rsidRPr="0074556D" w:rsidRDefault="0074556D" w:rsidP="00C25C7D">
                                  <w:pPr>
                                    <w:contextualSpacing/>
                                    <w:rPr>
                                      <w:sz w:val="20"/>
                                    </w:rPr>
                                  </w:pPr>
                                  <w:r w:rsidRPr="0074556D">
                                    <w:rPr>
                                      <w:sz w:val="20"/>
                                    </w:rPr>
                                    <w:t>Reflection and Practice DIU6135 replaced by</w:t>
                                  </w:r>
                                </w:p>
                                <w:p w14:paraId="27CA3501" w14:textId="77777777" w:rsidR="00C25C7D" w:rsidRDefault="00F53E6C" w:rsidP="00C25C7D">
                                  <w:pPr>
                                    <w:contextualSpacing/>
                                    <w:rPr>
                                      <w:sz w:val="20"/>
                                    </w:rPr>
                                  </w:pPr>
                                  <w:r>
                                    <w:rPr>
                                      <w:sz w:val="20"/>
                                    </w:rPr>
                                    <w:t>Working in Community Settings</w:t>
                                  </w:r>
                                  <w:r w:rsidR="0074556D">
                                    <w:rPr>
                                      <w:sz w:val="20"/>
                                    </w:rPr>
                                    <w:t xml:space="preserve"> (30 credits) DIM4035 in September 2017</w:t>
                                  </w:r>
                                </w:p>
                                <w:p w14:paraId="13601E37" w14:textId="77777777" w:rsidR="00C25C7D" w:rsidRDefault="00C25C7D" w:rsidP="00C25C7D">
                                  <w:pPr>
                                    <w:contextualSpacing/>
                                    <w:rPr>
                                      <w:sz w:val="20"/>
                                    </w:rPr>
                                  </w:pPr>
                                </w:p>
                                <w:p w14:paraId="6973D5F5" w14:textId="77777777" w:rsidR="00C25C7D" w:rsidRPr="00ED24A3" w:rsidRDefault="00C25C7D" w:rsidP="00C25C7D">
                                  <w:pPr>
                                    <w:contextualSpacing/>
                                    <w:rPr>
                                      <w:b/>
                                      <w:sz w:val="20"/>
                                    </w:rPr>
                                  </w:pPr>
                                  <w:r w:rsidRPr="00ED24A3">
                                    <w:rPr>
                                      <w:b/>
                                      <w:sz w:val="20"/>
                                    </w:rPr>
                                    <w:t>Year Long Modules (core)</w:t>
                                  </w:r>
                                </w:p>
                                <w:p w14:paraId="1BE3F7C4" w14:textId="77777777" w:rsidR="00C25C7D" w:rsidRDefault="00C25C7D" w:rsidP="00C25C7D">
                                  <w:pPr>
                                    <w:contextualSpacing/>
                                    <w:rPr>
                                      <w:sz w:val="20"/>
                                    </w:rPr>
                                  </w:pPr>
                                  <w:r>
                                    <w:rPr>
                                      <w:sz w:val="20"/>
                                    </w:rPr>
                                    <w:t xml:space="preserve">Perspectives on Learning and </w:t>
                                  </w:r>
                                  <w:r w:rsidR="008E0DB1">
                                    <w:rPr>
                                      <w:sz w:val="20"/>
                                    </w:rPr>
                                    <w:t>Development (30 credits) DFM1135</w:t>
                                  </w:r>
                                </w:p>
                                <w:p w14:paraId="13A4D2ED" w14:textId="77777777" w:rsidR="00C25C7D" w:rsidRDefault="00C25C7D" w:rsidP="00C25C7D">
                                  <w:pPr>
                                    <w:contextualSpacing/>
                                    <w:rPr>
                                      <w:sz w:val="20"/>
                                    </w:rPr>
                                  </w:pPr>
                                  <w:r>
                                    <w:rPr>
                                      <w:sz w:val="20"/>
                                    </w:rPr>
                                    <w:t>Social Policy an</w:t>
                                  </w:r>
                                  <w:r w:rsidR="008E0DB1">
                                    <w:rPr>
                                      <w:sz w:val="20"/>
                                    </w:rPr>
                                    <w:t>d Inclusion (30 credits) DIM1035</w:t>
                                  </w:r>
                                </w:p>
                                <w:p w14:paraId="353C94D5" w14:textId="77777777" w:rsidR="00C25C7D" w:rsidRPr="00084353"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03010" id="Text Box 85" o:spid="_x0000_s1036" type="#_x0000_t202" style="position:absolute;left:0;text-align:left;margin-left:.75pt;margin-top:3.9pt;width:255pt;height:11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">
                      <v:textbox>
                        <w:txbxContent>
                          <w:p w14:paraId="35207B7F" w14:textId="77777777" w:rsidR="00C25C7D" w:rsidRDefault="00C25C7D" w:rsidP="00C25C7D">
                            <w:pPr>
                              <w:contextualSpacing/>
                              <w:rPr>
                                <w:b/>
                                <w:sz w:val="20"/>
                              </w:rPr>
                            </w:pPr>
                            <w:r w:rsidRPr="00ED24A3">
                              <w:rPr>
                                <w:b/>
                                <w:sz w:val="20"/>
                              </w:rPr>
                              <w:t>Year Long Modules (compulsory)</w:t>
                            </w:r>
                          </w:p>
                          <w:p w14:paraId="3A2E9300" w14:textId="77777777" w:rsidR="0074556D" w:rsidRPr="0074556D" w:rsidRDefault="0074556D" w:rsidP="00C25C7D">
                            <w:pPr>
                              <w:contextualSpacing/>
                              <w:rPr>
                                <w:sz w:val="20"/>
                              </w:rPr>
                            </w:pPr>
                            <w:r w:rsidRPr="0074556D">
                              <w:rPr>
                                <w:sz w:val="20"/>
                              </w:rPr>
                              <w:t>Reflection and Practice DIU6135 replaced by</w:t>
                            </w:r>
                          </w:p>
                          <w:p w14:paraId="27CA3501" w14:textId="77777777" w:rsidR="00C25C7D" w:rsidRDefault="00F53E6C" w:rsidP="00C25C7D">
                            <w:pPr>
                              <w:contextualSpacing/>
                              <w:rPr>
                                <w:sz w:val="20"/>
                              </w:rPr>
                            </w:pPr>
                            <w:r>
                              <w:rPr>
                                <w:sz w:val="20"/>
                              </w:rPr>
                              <w:t>Working in Community Settings</w:t>
                            </w:r>
                            <w:r w:rsidR="0074556D">
                              <w:rPr>
                                <w:sz w:val="20"/>
                              </w:rPr>
                              <w:t xml:space="preserve"> (30 credits) DIM4035 in September 2017</w:t>
                            </w:r>
                          </w:p>
                          <w:p w14:paraId="13601E37" w14:textId="77777777" w:rsidR="00C25C7D" w:rsidRDefault="00C25C7D" w:rsidP="00C25C7D">
                            <w:pPr>
                              <w:contextualSpacing/>
                              <w:rPr>
                                <w:sz w:val="20"/>
                              </w:rPr>
                            </w:pPr>
                          </w:p>
                          <w:p w14:paraId="6973D5F5" w14:textId="77777777" w:rsidR="00C25C7D" w:rsidRPr="00ED24A3" w:rsidRDefault="00C25C7D" w:rsidP="00C25C7D">
                            <w:pPr>
                              <w:contextualSpacing/>
                              <w:rPr>
                                <w:b/>
                                <w:sz w:val="20"/>
                              </w:rPr>
                            </w:pPr>
                            <w:r w:rsidRPr="00ED24A3">
                              <w:rPr>
                                <w:b/>
                                <w:sz w:val="20"/>
                              </w:rPr>
                              <w:t>Year Long Modules (core)</w:t>
                            </w:r>
                          </w:p>
                          <w:p w14:paraId="1BE3F7C4" w14:textId="77777777" w:rsidR="00C25C7D" w:rsidRDefault="00C25C7D" w:rsidP="00C25C7D">
                            <w:pPr>
                              <w:contextualSpacing/>
                              <w:rPr>
                                <w:sz w:val="20"/>
                              </w:rPr>
                            </w:pPr>
                            <w:r>
                              <w:rPr>
                                <w:sz w:val="20"/>
                              </w:rPr>
                              <w:t xml:space="preserve">Perspectives on Learning and </w:t>
                            </w:r>
                            <w:r w:rsidR="008E0DB1">
                              <w:rPr>
                                <w:sz w:val="20"/>
                              </w:rPr>
                              <w:t>Development (30 credits) DFM1135</w:t>
                            </w:r>
                          </w:p>
                          <w:p w14:paraId="13A4D2ED" w14:textId="77777777" w:rsidR="00C25C7D" w:rsidRDefault="00C25C7D" w:rsidP="00C25C7D">
                            <w:pPr>
                              <w:contextualSpacing/>
                              <w:rPr>
                                <w:sz w:val="20"/>
                              </w:rPr>
                            </w:pPr>
                            <w:r>
                              <w:rPr>
                                <w:sz w:val="20"/>
                              </w:rPr>
                              <w:t>Social Policy an</w:t>
                            </w:r>
                            <w:r w:rsidR="008E0DB1">
                              <w:rPr>
                                <w:sz w:val="20"/>
                              </w:rPr>
                              <w:t>d Inclusion (30 credits) DIM1035</w:t>
                            </w:r>
                          </w:p>
                          <w:p w14:paraId="353C94D5" w14:textId="77777777" w:rsidR="00C25C7D" w:rsidRPr="00084353" w:rsidRDefault="00C25C7D" w:rsidP="00C25C7D">
                            <w:pPr>
                              <w:contextualSpacing/>
                              <w:rPr>
                                <w:sz w:val="20"/>
                              </w:rPr>
                            </w:pPr>
                          </w:p>
                        </w:txbxContent>
                      </v:textbox>
                    </v:shape>
                  </w:pict>
                </mc:Fallback>
              </mc:AlternateContent>
            </w:r>
          </w:p>
          <w:p w14:paraId="0D73CB2F" w14:textId="77777777" w:rsidR="00C25C7D" w:rsidRPr="008B4DA8" w:rsidRDefault="00C25C7D" w:rsidP="00360FB0">
            <w:pPr>
              <w:ind w:left="195"/>
              <w:jc w:val="both"/>
              <w:rPr>
                <w:sz w:val="20"/>
              </w:rPr>
            </w:pPr>
          </w:p>
          <w:p w14:paraId="2E468379" w14:textId="77777777" w:rsidR="00C25C7D" w:rsidRPr="008B4DA8" w:rsidRDefault="00C25C7D" w:rsidP="00360FB0">
            <w:pPr>
              <w:ind w:left="195"/>
              <w:jc w:val="both"/>
              <w:rPr>
                <w:sz w:val="20"/>
              </w:rPr>
            </w:pPr>
          </w:p>
          <w:p w14:paraId="622E800B" w14:textId="77777777" w:rsidR="00C25C7D" w:rsidRPr="008B4DA8" w:rsidRDefault="00C25C7D" w:rsidP="00360FB0">
            <w:pPr>
              <w:ind w:left="195"/>
              <w:jc w:val="both"/>
              <w:rPr>
                <w:sz w:val="20"/>
              </w:rPr>
            </w:pPr>
          </w:p>
          <w:p w14:paraId="2CF3162A" w14:textId="77777777" w:rsidR="00C25C7D" w:rsidRPr="008B4DA8" w:rsidRDefault="00C25C7D" w:rsidP="00360FB0">
            <w:pPr>
              <w:ind w:left="195"/>
              <w:jc w:val="both"/>
              <w:rPr>
                <w:sz w:val="20"/>
              </w:rPr>
            </w:pPr>
          </w:p>
          <w:p w14:paraId="04A61FE1" w14:textId="77777777" w:rsidR="00C25C7D" w:rsidRPr="008B4DA8" w:rsidRDefault="00C25C7D" w:rsidP="00360FB0">
            <w:pPr>
              <w:ind w:left="195"/>
              <w:jc w:val="both"/>
              <w:rPr>
                <w:sz w:val="20"/>
              </w:rPr>
            </w:pPr>
          </w:p>
          <w:p w14:paraId="7421AD50" w14:textId="77777777" w:rsidR="00C25C7D" w:rsidRPr="008B4DA8" w:rsidRDefault="00C25C7D" w:rsidP="00360FB0">
            <w:pPr>
              <w:ind w:left="195"/>
              <w:jc w:val="both"/>
              <w:rPr>
                <w:sz w:val="20"/>
              </w:rPr>
            </w:pPr>
          </w:p>
          <w:p w14:paraId="4B02C734" w14:textId="77777777" w:rsidR="00C25C7D" w:rsidRPr="008B4DA8" w:rsidRDefault="00C25C7D" w:rsidP="00360FB0">
            <w:pPr>
              <w:ind w:left="195"/>
              <w:jc w:val="both"/>
              <w:rPr>
                <w:b/>
                <w:sz w:val="20"/>
              </w:rPr>
            </w:pPr>
          </w:p>
        </w:tc>
      </w:tr>
      <w:tr w:rsidR="00C25C7D" w:rsidRPr="008B4DA8" w14:paraId="255D3F8B" w14:textId="77777777" w:rsidTr="008F510C">
        <w:trPr>
          <w:trHeight w:val="4811"/>
        </w:trPr>
        <w:tc>
          <w:tcPr>
            <w:tcW w:w="8984" w:type="dxa"/>
          </w:tcPr>
          <w:p w14:paraId="6EB797FB" w14:textId="77777777" w:rsidR="00C25C7D" w:rsidRPr="008B4DA8" w:rsidRDefault="00C25C7D" w:rsidP="00360FB0">
            <w:pPr>
              <w:ind w:left="195"/>
              <w:jc w:val="both"/>
              <w:rPr>
                <w:sz w:val="20"/>
              </w:rPr>
            </w:pPr>
          </w:p>
          <w:p w14:paraId="144E65F5" w14:textId="77777777" w:rsidR="00C25C7D" w:rsidRPr="008B4DA8" w:rsidRDefault="00C25C7D" w:rsidP="00360FB0">
            <w:pPr>
              <w:ind w:left="195"/>
              <w:jc w:val="both"/>
              <w:rPr>
                <w:b/>
                <w:sz w:val="20"/>
              </w:rPr>
            </w:pPr>
            <w:r w:rsidRPr="008B4DA8">
              <w:rPr>
                <w:b/>
                <w:sz w:val="20"/>
              </w:rPr>
              <w:t>Year 3 [Intermediate level + Honours level]</w:t>
            </w:r>
          </w:p>
          <w:tbl>
            <w:tblPr>
              <w:tblpPr w:leftFromText="180" w:rightFromText="180" w:vertAnchor="text" w:horzAnchor="margin" w:tblpY="2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tblGrid>
            <w:tr w:rsidR="008F510C" w:rsidRPr="008B4DA8" w14:paraId="351388EA" w14:textId="77777777" w:rsidTr="008F510C">
              <w:tblPrEx>
                <w:tblCellMar>
                  <w:top w:w="0" w:type="dxa"/>
                  <w:bottom w:w="0" w:type="dxa"/>
                </w:tblCellMar>
              </w:tblPrEx>
              <w:trPr>
                <w:trHeight w:val="1980"/>
              </w:trPr>
              <w:tc>
                <w:tcPr>
                  <w:tcW w:w="5130" w:type="dxa"/>
                </w:tcPr>
                <w:p w14:paraId="1EAA1F87" w14:textId="77777777" w:rsidR="008F510C" w:rsidRPr="008B4DA8" w:rsidRDefault="008F510C" w:rsidP="008F510C">
                  <w:pPr>
                    <w:contextualSpacing/>
                    <w:jc w:val="both"/>
                    <w:rPr>
                      <w:b/>
                      <w:sz w:val="20"/>
                    </w:rPr>
                  </w:pPr>
                  <w:r w:rsidRPr="008B4DA8">
                    <w:rPr>
                      <w:b/>
                      <w:sz w:val="20"/>
                    </w:rPr>
                    <w:t>Year Long Modules (option)</w:t>
                  </w:r>
                </w:p>
                <w:p w14:paraId="7F88485E" w14:textId="77777777" w:rsidR="008F510C" w:rsidRPr="008B4DA8" w:rsidRDefault="008F510C" w:rsidP="008F510C">
                  <w:pPr>
                    <w:jc w:val="both"/>
                    <w:rPr>
                      <w:sz w:val="20"/>
                    </w:rPr>
                  </w:pPr>
                  <w:r w:rsidRPr="00F402B4">
                    <w:rPr>
                      <w:sz w:val="20"/>
                    </w:rPr>
                    <w:t>DIM1130 Safeguarding Children and Young People</w:t>
                  </w:r>
                  <w:r w:rsidRPr="00132CC0" w:rsidDel="00132CC0">
                    <w:rPr>
                      <w:sz w:val="20"/>
                      <w:highlight w:val="yellow"/>
                    </w:rPr>
                    <w:t xml:space="preserve"> </w:t>
                  </w:r>
                  <w:r w:rsidRPr="008B4DA8">
                    <w:rPr>
                      <w:sz w:val="20"/>
                    </w:rPr>
                    <w:t>Language and Communication for Effectiveness a</w:t>
                  </w:r>
                  <w:r>
                    <w:rPr>
                      <w:sz w:val="20"/>
                    </w:rPr>
                    <w:t>nd Inclusion (30 credits) DIM2435</w:t>
                  </w:r>
                </w:p>
                <w:p w14:paraId="2A4D458C" w14:textId="77777777" w:rsidR="008F510C" w:rsidRPr="008B4DA8" w:rsidRDefault="008F510C" w:rsidP="008F510C">
                  <w:pPr>
                    <w:jc w:val="both"/>
                    <w:rPr>
                      <w:sz w:val="20"/>
                    </w:rPr>
                  </w:pPr>
                  <w:r w:rsidRPr="008B4DA8">
                    <w:rPr>
                      <w:sz w:val="20"/>
                    </w:rPr>
                    <w:t>Philosophical Approaches t</w:t>
                  </w:r>
                  <w:r>
                    <w:rPr>
                      <w:sz w:val="20"/>
                    </w:rPr>
                    <w:t>o Education (30 credits) DIA2735</w:t>
                  </w:r>
                </w:p>
                <w:p w14:paraId="7171C806" w14:textId="77777777" w:rsidR="008F510C" w:rsidRPr="008B4DA8" w:rsidRDefault="008F510C" w:rsidP="008F510C">
                  <w:pPr>
                    <w:jc w:val="both"/>
                    <w:rPr>
                      <w:sz w:val="20"/>
                    </w:rPr>
                  </w:pPr>
                  <w:r w:rsidRPr="008B4DA8">
                    <w:rPr>
                      <w:sz w:val="20"/>
                    </w:rPr>
                    <w:t>Abrah</w:t>
                  </w:r>
                  <w:r>
                    <w:rPr>
                      <w:sz w:val="20"/>
                    </w:rPr>
                    <w:t>a</w:t>
                  </w:r>
                  <w:r w:rsidRPr="008B4DA8">
                    <w:rPr>
                      <w:sz w:val="20"/>
                    </w:rPr>
                    <w:t>mic Religion in Contempora</w:t>
                  </w:r>
                  <w:r>
                    <w:rPr>
                      <w:sz w:val="20"/>
                    </w:rPr>
                    <w:t>ry contexts (30 credits) DIR1135</w:t>
                  </w:r>
                </w:p>
              </w:tc>
            </w:tr>
          </w:tbl>
          <w:p w14:paraId="497840DD" w14:textId="74529CF2" w:rsidR="00C25C7D" w:rsidRPr="008B4DA8" w:rsidRDefault="005B6895" w:rsidP="00360FB0">
            <w:pPr>
              <w:ind w:left="195"/>
              <w:jc w:val="both"/>
              <w:rPr>
                <w:sz w:val="20"/>
              </w:rPr>
            </w:pPr>
            <w:r w:rsidRPr="008B4DA8">
              <w:rPr>
                <w:noProof/>
                <w:sz w:val="20"/>
              </w:rPr>
              <mc:AlternateContent>
                <mc:Choice Requires="wps">
                  <w:drawing>
                    <wp:anchor distT="0" distB="0" distL="114300" distR="114300" simplePos="0" relativeHeight="251662848" behindDoc="0" locked="0" layoutInCell="1" allowOverlap="1" wp14:anchorId="36A0B040" wp14:editId="7C6CC871">
                      <wp:simplePos x="0" y="0"/>
                      <wp:positionH relativeFrom="column">
                        <wp:posOffset>9525</wp:posOffset>
                      </wp:positionH>
                      <wp:positionV relativeFrom="paragraph">
                        <wp:posOffset>88900</wp:posOffset>
                      </wp:positionV>
                      <wp:extent cx="3238500" cy="1155700"/>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55700"/>
                              </a:xfrm>
                              <a:prstGeom prst="rect">
                                <a:avLst/>
                              </a:prstGeom>
                              <a:solidFill>
                                <a:srgbClr val="FFFFFF"/>
                              </a:solidFill>
                              <a:ln w="9525">
                                <a:solidFill>
                                  <a:srgbClr val="000000"/>
                                </a:solidFill>
                                <a:miter lim="800000"/>
                                <a:headEnd/>
                                <a:tailEnd/>
                              </a:ln>
                            </wps:spPr>
                            <wps:txbx>
                              <w:txbxContent>
                                <w:p w14:paraId="0E5D1E32" w14:textId="77777777" w:rsidR="00C25C7D" w:rsidRPr="00ED24A3" w:rsidRDefault="00C25C7D" w:rsidP="00C25C7D">
                                  <w:pPr>
                                    <w:contextualSpacing/>
                                    <w:rPr>
                                      <w:b/>
                                      <w:sz w:val="20"/>
                                    </w:rPr>
                                  </w:pPr>
                                  <w:r w:rsidRPr="00ED24A3">
                                    <w:rPr>
                                      <w:b/>
                                      <w:sz w:val="20"/>
                                    </w:rPr>
                                    <w:t>Year Long Modules (compulsory)</w:t>
                                  </w:r>
                                </w:p>
                                <w:p w14:paraId="255C1FBC" w14:textId="77777777" w:rsidR="00C25C7D" w:rsidRDefault="00C25C7D" w:rsidP="00C25C7D">
                                  <w:pPr>
                                    <w:contextualSpacing/>
                                    <w:rPr>
                                      <w:sz w:val="20"/>
                                    </w:rPr>
                                  </w:pPr>
                                  <w:r>
                                    <w:rPr>
                                      <w:sz w:val="20"/>
                                    </w:rPr>
                                    <w:t>People in Action: Work with Individuals</w:t>
                                  </w:r>
                                  <w:r w:rsidR="008E0DB1">
                                    <w:rPr>
                                      <w:sz w:val="20"/>
                                    </w:rPr>
                                    <w:t xml:space="preserve"> and Groups (30 credits) DIM1435</w:t>
                                  </w:r>
                                </w:p>
                                <w:p w14:paraId="5A3A3248" w14:textId="77777777" w:rsidR="00C25C7D" w:rsidRDefault="00C25C7D" w:rsidP="00C25C7D">
                                  <w:pPr>
                                    <w:contextualSpacing/>
                                    <w:rPr>
                                      <w:sz w:val="20"/>
                                    </w:rPr>
                                  </w:pPr>
                                </w:p>
                                <w:p w14:paraId="05A7DCD6" w14:textId="77777777" w:rsidR="00C25C7D" w:rsidRPr="00ED24A3" w:rsidRDefault="00C25C7D" w:rsidP="00C25C7D">
                                  <w:pPr>
                                    <w:contextualSpacing/>
                                    <w:rPr>
                                      <w:b/>
                                      <w:sz w:val="20"/>
                                    </w:rPr>
                                  </w:pPr>
                                  <w:r w:rsidRPr="00ED24A3">
                                    <w:rPr>
                                      <w:b/>
                                      <w:sz w:val="20"/>
                                    </w:rPr>
                                    <w:t>Year Long Modules (core)</w:t>
                                  </w:r>
                                </w:p>
                                <w:p w14:paraId="13CFA7B4" w14:textId="77777777" w:rsidR="00C25C7D" w:rsidRDefault="00C25C7D" w:rsidP="00C25C7D">
                                  <w:pPr>
                                    <w:contextualSpacing/>
                                    <w:rPr>
                                      <w:sz w:val="20"/>
                                    </w:rPr>
                                  </w:pPr>
                                  <w:r>
                                    <w:rPr>
                                      <w:sz w:val="20"/>
                                    </w:rPr>
                                    <w:t>Leadership and Management in Profession</w:t>
                                  </w:r>
                                  <w:r w:rsidR="008E0DB1">
                                    <w:rPr>
                                      <w:sz w:val="20"/>
                                    </w:rPr>
                                    <w:t>al Contexts (30 credits) DHJ2235</w:t>
                                  </w:r>
                                </w:p>
                                <w:p w14:paraId="20617371" w14:textId="77777777" w:rsidR="00C25C7D" w:rsidRPr="00084353"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B040" id="Text Box 87" o:spid="_x0000_s1037" type="#_x0000_t202" style="position:absolute;left:0;text-align:left;margin-left:.75pt;margin-top:7pt;width:255pt;height: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FLQIAAFoEAAAOAAAAZHJzL2Uyb0RvYy54bWysVNtu2zAMfR+wfxD0vvjSZEm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">
                      <v:textbox>
                        <w:txbxContent>
                          <w:p w14:paraId="0E5D1E32" w14:textId="77777777" w:rsidR="00C25C7D" w:rsidRPr="00ED24A3" w:rsidRDefault="00C25C7D" w:rsidP="00C25C7D">
                            <w:pPr>
                              <w:contextualSpacing/>
                              <w:rPr>
                                <w:b/>
                                <w:sz w:val="20"/>
                              </w:rPr>
                            </w:pPr>
                            <w:r w:rsidRPr="00ED24A3">
                              <w:rPr>
                                <w:b/>
                                <w:sz w:val="20"/>
                              </w:rPr>
                              <w:t>Year Long Modules (compulsory)</w:t>
                            </w:r>
                          </w:p>
                          <w:p w14:paraId="255C1FBC" w14:textId="77777777" w:rsidR="00C25C7D" w:rsidRDefault="00C25C7D" w:rsidP="00C25C7D">
                            <w:pPr>
                              <w:contextualSpacing/>
                              <w:rPr>
                                <w:sz w:val="20"/>
                              </w:rPr>
                            </w:pPr>
                            <w:r>
                              <w:rPr>
                                <w:sz w:val="20"/>
                              </w:rPr>
                              <w:t>People in Action: Work with Individuals</w:t>
                            </w:r>
                            <w:r w:rsidR="008E0DB1">
                              <w:rPr>
                                <w:sz w:val="20"/>
                              </w:rPr>
                              <w:t xml:space="preserve"> and Groups (30 credits) DIM1435</w:t>
                            </w:r>
                          </w:p>
                          <w:p w14:paraId="5A3A3248" w14:textId="77777777" w:rsidR="00C25C7D" w:rsidRDefault="00C25C7D" w:rsidP="00C25C7D">
                            <w:pPr>
                              <w:contextualSpacing/>
                              <w:rPr>
                                <w:sz w:val="20"/>
                              </w:rPr>
                            </w:pPr>
                          </w:p>
                          <w:p w14:paraId="05A7DCD6" w14:textId="77777777" w:rsidR="00C25C7D" w:rsidRPr="00ED24A3" w:rsidRDefault="00C25C7D" w:rsidP="00C25C7D">
                            <w:pPr>
                              <w:contextualSpacing/>
                              <w:rPr>
                                <w:b/>
                                <w:sz w:val="20"/>
                              </w:rPr>
                            </w:pPr>
                            <w:r w:rsidRPr="00ED24A3">
                              <w:rPr>
                                <w:b/>
                                <w:sz w:val="20"/>
                              </w:rPr>
                              <w:t>Year Long Modules (core)</w:t>
                            </w:r>
                          </w:p>
                          <w:p w14:paraId="13CFA7B4" w14:textId="77777777" w:rsidR="00C25C7D" w:rsidRDefault="00C25C7D" w:rsidP="00C25C7D">
                            <w:pPr>
                              <w:contextualSpacing/>
                              <w:rPr>
                                <w:sz w:val="20"/>
                              </w:rPr>
                            </w:pPr>
                            <w:r>
                              <w:rPr>
                                <w:sz w:val="20"/>
                              </w:rPr>
                              <w:t>Leadership and Management in Profession</w:t>
                            </w:r>
                            <w:r w:rsidR="008E0DB1">
                              <w:rPr>
                                <w:sz w:val="20"/>
                              </w:rPr>
                              <w:t>al Contexts (30 credits) DHJ2235</w:t>
                            </w:r>
                          </w:p>
                          <w:p w14:paraId="20617371" w14:textId="77777777" w:rsidR="00C25C7D" w:rsidRPr="00084353" w:rsidRDefault="00C25C7D" w:rsidP="00C25C7D">
                            <w:pPr>
                              <w:contextualSpacing/>
                              <w:rPr>
                                <w:sz w:val="20"/>
                              </w:rPr>
                            </w:pPr>
                          </w:p>
                        </w:txbxContent>
                      </v:textbox>
                    </v:shape>
                  </w:pict>
                </mc:Fallback>
              </mc:AlternateContent>
            </w:r>
            <w:r w:rsidRPr="008B4DA8">
              <w:rPr>
                <w:noProof/>
                <w:sz w:val="20"/>
              </w:rPr>
              <mc:AlternateContent>
                <mc:Choice Requires="wps">
                  <w:drawing>
                    <wp:anchor distT="0" distB="0" distL="114300" distR="114300" simplePos="0" relativeHeight="251663872" behindDoc="0" locked="0" layoutInCell="1" allowOverlap="1" wp14:anchorId="4D966A4E" wp14:editId="18DB270D">
                      <wp:simplePos x="0" y="0"/>
                      <wp:positionH relativeFrom="column">
                        <wp:posOffset>3495675</wp:posOffset>
                      </wp:positionH>
                      <wp:positionV relativeFrom="paragraph">
                        <wp:posOffset>88900</wp:posOffset>
                      </wp:positionV>
                      <wp:extent cx="2000250" cy="1833245"/>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833245"/>
                              </a:xfrm>
                              <a:prstGeom prst="rect">
                                <a:avLst/>
                              </a:prstGeom>
                              <a:solidFill>
                                <a:srgbClr val="FFFFFF"/>
                              </a:solidFill>
                              <a:ln w="9525">
                                <a:solidFill>
                                  <a:srgbClr val="000000"/>
                                </a:solidFill>
                                <a:miter lim="800000"/>
                                <a:headEnd/>
                                <a:tailEnd/>
                              </a:ln>
                            </wps:spPr>
                            <wps:txbx>
                              <w:txbxContent>
                                <w:p w14:paraId="09FBA7F2" w14:textId="77777777" w:rsidR="00C25C7D" w:rsidRPr="00ED24A3" w:rsidRDefault="00C25C7D" w:rsidP="00C25C7D">
                                  <w:pPr>
                                    <w:contextualSpacing/>
                                    <w:rPr>
                                      <w:b/>
                                      <w:sz w:val="20"/>
                                    </w:rPr>
                                  </w:pPr>
                                  <w:r w:rsidRPr="00ED24A3">
                                    <w:rPr>
                                      <w:b/>
                                      <w:sz w:val="20"/>
                                    </w:rPr>
                                    <w:t>Progression requirements</w:t>
                                  </w:r>
                                </w:p>
                                <w:p w14:paraId="1666AD8F" w14:textId="77777777" w:rsidR="00C25C7D" w:rsidRDefault="00C25C7D" w:rsidP="00C25C7D">
                                  <w:pPr>
                                    <w:contextualSpacing/>
                                    <w:rPr>
                                      <w:sz w:val="20"/>
                                    </w:rPr>
                                  </w:pPr>
                                </w:p>
                                <w:p w14:paraId="7C1CF4BA" w14:textId="77777777" w:rsidR="00C25C7D" w:rsidRDefault="00C25C7D" w:rsidP="00C25C7D">
                                  <w:pPr>
                                    <w:contextualSpacing/>
                                    <w:rPr>
                                      <w:sz w:val="20"/>
                                    </w:rPr>
                                  </w:pPr>
                                  <w:r>
                                    <w:rPr>
                                      <w:sz w:val="20"/>
                                    </w:rPr>
                                    <w:t>A minimum of 240 credits for progression.</w:t>
                                  </w:r>
                                </w:p>
                                <w:p w14:paraId="7DE58318" w14:textId="77777777" w:rsidR="00C25C7D" w:rsidRDefault="00C25C7D" w:rsidP="00C25C7D">
                                  <w:pPr>
                                    <w:contextualSpacing/>
                                    <w:rPr>
                                      <w:sz w:val="20"/>
                                    </w:rPr>
                                  </w:pPr>
                                </w:p>
                                <w:p w14:paraId="68E335EA" w14:textId="77777777" w:rsidR="00C25C7D" w:rsidRDefault="00C25C7D" w:rsidP="00C25C7D">
                                  <w:pPr>
                                    <w:contextualSpacing/>
                                    <w:rPr>
                                      <w:sz w:val="20"/>
                                    </w:rPr>
                                  </w:pPr>
                                  <w:r>
                                    <w:rPr>
                                      <w:sz w:val="20"/>
                                    </w:rPr>
                                    <w:t>A minimum of 240 credits for the award of Diploma in Higher Education (this is an academic qualifications and does not provide any form of vocational qualification) (unnamed).</w:t>
                                  </w:r>
                                </w:p>
                                <w:p w14:paraId="6F983822" w14:textId="77777777" w:rsidR="00C25C7D" w:rsidRPr="00F055B4" w:rsidRDefault="00C25C7D" w:rsidP="00C25C7D">
                                  <w:pPr>
                                    <w:contextual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6A4E" id="Text Box 88" o:spid="_x0000_s1038" type="#_x0000_t202" style="position:absolute;left:0;text-align:left;margin-left:275.25pt;margin-top:7pt;width:157.5pt;height:14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">
                      <v:textbox>
                        <w:txbxContent>
                          <w:p w14:paraId="09FBA7F2" w14:textId="77777777" w:rsidR="00C25C7D" w:rsidRPr="00ED24A3" w:rsidRDefault="00C25C7D" w:rsidP="00C25C7D">
                            <w:pPr>
                              <w:contextualSpacing/>
                              <w:rPr>
                                <w:b/>
                                <w:sz w:val="20"/>
                              </w:rPr>
                            </w:pPr>
                            <w:r w:rsidRPr="00ED24A3">
                              <w:rPr>
                                <w:b/>
                                <w:sz w:val="20"/>
                              </w:rPr>
                              <w:t>Progression requirements</w:t>
                            </w:r>
                          </w:p>
                          <w:p w14:paraId="1666AD8F" w14:textId="77777777" w:rsidR="00C25C7D" w:rsidRDefault="00C25C7D" w:rsidP="00C25C7D">
                            <w:pPr>
                              <w:contextualSpacing/>
                              <w:rPr>
                                <w:sz w:val="20"/>
                              </w:rPr>
                            </w:pPr>
                          </w:p>
                          <w:p w14:paraId="7C1CF4BA" w14:textId="77777777" w:rsidR="00C25C7D" w:rsidRDefault="00C25C7D" w:rsidP="00C25C7D">
                            <w:pPr>
                              <w:contextualSpacing/>
                              <w:rPr>
                                <w:sz w:val="20"/>
                              </w:rPr>
                            </w:pPr>
                            <w:r>
                              <w:rPr>
                                <w:sz w:val="20"/>
                              </w:rPr>
                              <w:t>A minimum of 240 credits for progression.</w:t>
                            </w:r>
                          </w:p>
                          <w:p w14:paraId="7DE58318" w14:textId="77777777" w:rsidR="00C25C7D" w:rsidRDefault="00C25C7D" w:rsidP="00C25C7D">
                            <w:pPr>
                              <w:contextualSpacing/>
                              <w:rPr>
                                <w:sz w:val="20"/>
                              </w:rPr>
                            </w:pPr>
                          </w:p>
                          <w:p w14:paraId="68E335EA" w14:textId="77777777" w:rsidR="00C25C7D" w:rsidRDefault="00C25C7D" w:rsidP="00C25C7D">
                            <w:pPr>
                              <w:contextualSpacing/>
                              <w:rPr>
                                <w:sz w:val="20"/>
                              </w:rPr>
                            </w:pPr>
                            <w:r>
                              <w:rPr>
                                <w:sz w:val="20"/>
                              </w:rPr>
                              <w:t>A minimum of 240 credits for the award of Diploma in Higher Education (this is an academic qualifications and does not provide any form of vocational qualification) (unnamed).</w:t>
                            </w:r>
                          </w:p>
                          <w:p w14:paraId="6F983822" w14:textId="77777777" w:rsidR="00C25C7D" w:rsidRPr="00F055B4" w:rsidRDefault="00C25C7D" w:rsidP="00C25C7D">
                            <w:pPr>
                              <w:contextualSpacing/>
                              <w:rPr>
                                <w:sz w:val="20"/>
                              </w:rPr>
                            </w:pPr>
                          </w:p>
                        </w:txbxContent>
                      </v:textbox>
                    </v:shape>
                  </w:pict>
                </mc:Fallback>
              </mc:AlternateContent>
            </w:r>
          </w:p>
        </w:tc>
      </w:tr>
      <w:tr w:rsidR="00C25C7D" w:rsidRPr="008B4DA8" w14:paraId="2A6ACCB7" w14:textId="77777777" w:rsidTr="008F510C">
        <w:trPr>
          <w:trHeight w:val="4512"/>
        </w:trPr>
        <w:tc>
          <w:tcPr>
            <w:tcW w:w="8984" w:type="dxa"/>
          </w:tcPr>
          <w:p w14:paraId="055B887F" w14:textId="77777777" w:rsidR="00C25C7D" w:rsidRPr="008B4DA8" w:rsidRDefault="00C25C7D" w:rsidP="00360FB0">
            <w:pPr>
              <w:pStyle w:val="BodyText2"/>
              <w:ind w:left="195"/>
              <w:jc w:val="both"/>
              <w:rPr>
                <w:sz w:val="20"/>
              </w:rPr>
            </w:pPr>
          </w:p>
          <w:p w14:paraId="2390312D" w14:textId="77777777" w:rsidR="00C25C7D" w:rsidRPr="008B4DA8" w:rsidRDefault="00C25C7D" w:rsidP="00360FB0">
            <w:pPr>
              <w:pStyle w:val="BodyText2"/>
              <w:ind w:left="195"/>
              <w:jc w:val="both"/>
              <w:rPr>
                <w:sz w:val="20"/>
              </w:rPr>
            </w:pPr>
            <w:r w:rsidRPr="008B4DA8">
              <w:rPr>
                <w:sz w:val="20"/>
              </w:rPr>
              <w:t>Year 4 [Honours level]</w:t>
            </w:r>
          </w:p>
          <w:p w14:paraId="6DBB584C" w14:textId="77777777" w:rsidR="00C25C7D" w:rsidRPr="008B4DA8" w:rsidRDefault="00C25C7D" w:rsidP="00360FB0">
            <w:pPr>
              <w:pStyle w:val="BodyText2"/>
              <w:ind w:left="195"/>
              <w:jc w:val="both"/>
              <w:rPr>
                <w:sz w:val="20"/>
              </w:rPr>
            </w:pPr>
          </w:p>
          <w:tbl>
            <w:tblPr>
              <w:tblpPr w:leftFromText="180" w:rightFromText="180" w:vertAnchor="text" w:horzAnchor="page" w:tblpX="31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tblGrid>
            <w:tr w:rsidR="00C25C7D" w:rsidRPr="008B4DA8" w14:paraId="23B502B2" w14:textId="77777777">
              <w:tblPrEx>
                <w:tblCellMar>
                  <w:top w:w="0" w:type="dxa"/>
                  <w:bottom w:w="0" w:type="dxa"/>
                </w:tblCellMar>
              </w:tblPrEx>
              <w:trPr>
                <w:trHeight w:val="375"/>
              </w:trPr>
              <w:tc>
                <w:tcPr>
                  <w:tcW w:w="4980" w:type="dxa"/>
                </w:tcPr>
                <w:p w14:paraId="47374A5A" w14:textId="77777777" w:rsidR="00C25C7D" w:rsidRPr="008B4DA8" w:rsidRDefault="00C25C7D" w:rsidP="00360FB0">
                  <w:pPr>
                    <w:contextualSpacing/>
                    <w:jc w:val="both"/>
                    <w:rPr>
                      <w:b/>
                      <w:sz w:val="20"/>
                    </w:rPr>
                  </w:pPr>
                  <w:r w:rsidRPr="008B4DA8">
                    <w:rPr>
                      <w:b/>
                      <w:sz w:val="20"/>
                    </w:rPr>
                    <w:t>Year Long Modules (compulsory)</w:t>
                  </w:r>
                </w:p>
                <w:p w14:paraId="2F2C4A85" w14:textId="77777777" w:rsidR="00C25C7D" w:rsidRPr="008B4DA8" w:rsidRDefault="00C25C7D" w:rsidP="00360FB0">
                  <w:pPr>
                    <w:contextualSpacing/>
                    <w:jc w:val="both"/>
                    <w:rPr>
                      <w:sz w:val="20"/>
                    </w:rPr>
                  </w:pPr>
                  <w:r w:rsidRPr="008B4DA8">
                    <w:rPr>
                      <w:sz w:val="20"/>
                    </w:rPr>
                    <w:t>Theorising</w:t>
                  </w:r>
                  <w:r>
                    <w:rPr>
                      <w:sz w:val="20"/>
                    </w:rPr>
                    <w:t xml:space="preserve"> for Advanced Practitioners</w:t>
                  </w:r>
                  <w:r w:rsidR="008E0DB1">
                    <w:rPr>
                      <w:sz w:val="20"/>
                    </w:rPr>
                    <w:t xml:space="preserve"> (30 credits) DHM2535</w:t>
                  </w:r>
                </w:p>
                <w:p w14:paraId="51339267" w14:textId="77777777" w:rsidR="00C25C7D" w:rsidRPr="008B4DA8" w:rsidRDefault="00C25C7D" w:rsidP="00360FB0">
                  <w:pPr>
                    <w:contextualSpacing/>
                    <w:jc w:val="both"/>
                    <w:rPr>
                      <w:b/>
                      <w:sz w:val="20"/>
                    </w:rPr>
                  </w:pPr>
                </w:p>
                <w:p w14:paraId="42845B33" w14:textId="77777777" w:rsidR="00C25C7D" w:rsidRPr="008B4DA8" w:rsidRDefault="00C25C7D" w:rsidP="00360FB0">
                  <w:pPr>
                    <w:contextualSpacing/>
                    <w:jc w:val="both"/>
                    <w:rPr>
                      <w:b/>
                      <w:sz w:val="20"/>
                    </w:rPr>
                  </w:pPr>
                  <w:r w:rsidRPr="008B4DA8">
                    <w:rPr>
                      <w:b/>
                      <w:sz w:val="20"/>
                    </w:rPr>
                    <w:t>Year Long Modules (core)</w:t>
                  </w:r>
                </w:p>
                <w:p w14:paraId="6AAB8EF0" w14:textId="77777777" w:rsidR="00C25C7D" w:rsidRPr="008B4DA8" w:rsidRDefault="00C25C7D" w:rsidP="00360FB0">
                  <w:pPr>
                    <w:contextualSpacing/>
                    <w:jc w:val="both"/>
                    <w:rPr>
                      <w:sz w:val="20"/>
                    </w:rPr>
                  </w:pPr>
                  <w:r w:rsidRPr="008B4DA8">
                    <w:rPr>
                      <w:sz w:val="20"/>
                    </w:rPr>
                    <w:t>Research Me</w:t>
                  </w:r>
                  <w:r w:rsidR="008E0DB1">
                    <w:rPr>
                      <w:sz w:val="20"/>
                    </w:rPr>
                    <w:t>thodologies (20 credits) DHM1025</w:t>
                  </w:r>
                </w:p>
                <w:p w14:paraId="52977E1B" w14:textId="77777777" w:rsidR="00C25C7D" w:rsidRPr="008B4DA8" w:rsidRDefault="008E0DB1" w:rsidP="00360FB0">
                  <w:pPr>
                    <w:contextualSpacing/>
                    <w:jc w:val="both"/>
                    <w:rPr>
                      <w:sz w:val="20"/>
                    </w:rPr>
                  </w:pPr>
                  <w:r>
                    <w:rPr>
                      <w:sz w:val="20"/>
                    </w:rPr>
                    <w:t>Major Study (40 credits) DHF2945</w:t>
                  </w:r>
                </w:p>
                <w:p w14:paraId="18CDA163" w14:textId="77777777" w:rsidR="00C25C7D" w:rsidRPr="008B4DA8" w:rsidRDefault="00C25C7D" w:rsidP="00360FB0">
                  <w:pPr>
                    <w:contextualSpacing/>
                    <w:jc w:val="both"/>
                    <w:rPr>
                      <w:sz w:val="20"/>
                    </w:rPr>
                  </w:pPr>
                </w:p>
              </w:tc>
            </w:tr>
          </w:tbl>
          <w:p w14:paraId="72353530" w14:textId="77777777" w:rsidR="00C25C7D" w:rsidRPr="008B4DA8" w:rsidRDefault="00C25C7D" w:rsidP="00360FB0">
            <w:pPr>
              <w:pStyle w:val="BodyText2"/>
              <w:ind w:left="195"/>
              <w:jc w:val="both"/>
              <w:rPr>
                <w:sz w:val="2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tblGrid>
            <w:tr w:rsidR="00C25C7D" w:rsidRPr="008B4DA8" w14:paraId="09F98B9A" w14:textId="77777777" w:rsidTr="008F510C">
              <w:trPr>
                <w:trHeight w:val="1827"/>
              </w:trPr>
              <w:tc>
                <w:tcPr>
                  <w:tcW w:w="4990" w:type="dxa"/>
                </w:tcPr>
                <w:p w14:paraId="7E465A0F" w14:textId="77777777" w:rsidR="00C25C7D" w:rsidRPr="008B4DA8" w:rsidRDefault="00C25C7D" w:rsidP="00360FB0">
                  <w:pPr>
                    <w:contextualSpacing/>
                    <w:jc w:val="both"/>
                    <w:rPr>
                      <w:b/>
                      <w:sz w:val="20"/>
                    </w:rPr>
                  </w:pPr>
                  <w:r w:rsidRPr="008B4DA8">
                    <w:rPr>
                      <w:b/>
                      <w:sz w:val="20"/>
                    </w:rPr>
                    <w:t>Progression requirements</w:t>
                  </w:r>
                </w:p>
                <w:p w14:paraId="6BF9F9BE" w14:textId="77777777" w:rsidR="00C25C7D" w:rsidRPr="008B4DA8" w:rsidRDefault="00C25C7D" w:rsidP="00360FB0">
                  <w:pPr>
                    <w:contextualSpacing/>
                    <w:jc w:val="both"/>
                    <w:rPr>
                      <w:sz w:val="20"/>
                    </w:rPr>
                  </w:pPr>
                </w:p>
                <w:p w14:paraId="6FEED772" w14:textId="77777777" w:rsidR="00C25C7D" w:rsidRPr="008B4DA8" w:rsidRDefault="00C25C7D" w:rsidP="00360FB0">
                  <w:pPr>
                    <w:contextualSpacing/>
                    <w:jc w:val="both"/>
                    <w:rPr>
                      <w:sz w:val="20"/>
                    </w:rPr>
                  </w:pPr>
                  <w:r w:rsidRPr="008B4DA8">
                    <w:rPr>
                      <w:sz w:val="20"/>
                    </w:rPr>
                    <w:t>An Honours degree together with professional status as a Youth and Community Worker (JNC recognised) is awarded on the basis of gaining 120 Foundation level credits; 120 Intermediate level credits and 120 Honours level credits (360 credits)</w:t>
                  </w:r>
                  <w:r>
                    <w:rPr>
                      <w:sz w:val="20"/>
                    </w:rPr>
                    <w:t>.</w:t>
                  </w:r>
                </w:p>
                <w:p w14:paraId="38CC2022" w14:textId="77777777" w:rsidR="00C25C7D" w:rsidRPr="008B4DA8" w:rsidRDefault="00C25C7D" w:rsidP="00360FB0">
                  <w:pPr>
                    <w:pStyle w:val="BodyText2"/>
                    <w:jc w:val="both"/>
                    <w:rPr>
                      <w:i/>
                      <w:sz w:val="20"/>
                    </w:rPr>
                  </w:pPr>
                </w:p>
              </w:tc>
            </w:tr>
          </w:tbl>
          <w:p w14:paraId="456D3EDA" w14:textId="77777777" w:rsidR="00C25C7D" w:rsidRPr="008B4DA8" w:rsidRDefault="00C25C7D" w:rsidP="00360FB0">
            <w:pPr>
              <w:pStyle w:val="BodyText2"/>
              <w:ind w:left="195"/>
              <w:jc w:val="both"/>
              <w:rPr>
                <w:sz w:val="20"/>
              </w:rPr>
            </w:pPr>
          </w:p>
          <w:p w14:paraId="0B111BF9" w14:textId="77777777" w:rsidR="00C25C7D" w:rsidRPr="008B4DA8" w:rsidRDefault="00C25C7D" w:rsidP="00360FB0">
            <w:pPr>
              <w:pStyle w:val="BodyText2"/>
              <w:ind w:left="195"/>
              <w:jc w:val="both"/>
              <w:rPr>
                <w:sz w:val="20"/>
              </w:rPr>
            </w:pPr>
          </w:p>
        </w:tc>
      </w:tr>
    </w:tbl>
    <w:p w14:paraId="5E3C573B" w14:textId="77777777" w:rsidR="00C25C7D" w:rsidRPr="008B4DA8" w:rsidRDefault="00C25C7D" w:rsidP="00360FB0">
      <w:pPr>
        <w:jc w:val="both"/>
        <w:rPr>
          <w:sz w:val="20"/>
        </w:rPr>
      </w:pPr>
    </w:p>
    <w:p w14:paraId="4BEB489A" w14:textId="62923124" w:rsidR="00C25C7D" w:rsidRDefault="00C25C7D" w:rsidP="00360FB0">
      <w:pPr>
        <w:jc w:val="both"/>
        <w:rPr>
          <w:sz w:val="20"/>
        </w:rPr>
      </w:pPr>
    </w:p>
    <w:p w14:paraId="1D7418A8" w14:textId="77777777" w:rsidR="00B3381F" w:rsidRPr="008B4DA8" w:rsidRDefault="00B3381F" w:rsidP="00360FB0">
      <w:pPr>
        <w:jc w:val="both"/>
        <w:rPr>
          <w:sz w:val="20"/>
        </w:rPr>
      </w:pPr>
    </w:p>
    <w:p w14:paraId="1C4D1171" w14:textId="648463C3" w:rsidR="00C25C7D" w:rsidRPr="00B3381F" w:rsidRDefault="00C25C7D" w:rsidP="00B3381F">
      <w:pPr>
        <w:pStyle w:val="Heading1"/>
      </w:pPr>
      <w:r w:rsidRPr="00B3381F">
        <w:lastRenderedPageBreak/>
        <w:t>TEACHING, LEARNING AND ASSESSMENT</w:t>
      </w:r>
    </w:p>
    <w:p w14:paraId="29730F09" w14:textId="77777777" w:rsidR="00C25C7D" w:rsidRPr="008B4DA8" w:rsidRDefault="00C25C7D" w:rsidP="00360FB0">
      <w:pPr>
        <w:jc w:val="both"/>
        <w:rPr>
          <w:sz w:val="20"/>
        </w:rPr>
      </w:pPr>
    </w:p>
    <w:p w14:paraId="3E1484C4" w14:textId="77777777" w:rsidR="00C25C7D" w:rsidRPr="008B4DA8" w:rsidRDefault="00C25C7D" w:rsidP="00360FB0">
      <w:pPr>
        <w:jc w:val="both"/>
        <w:rPr>
          <w:sz w:val="20"/>
        </w:rPr>
      </w:pPr>
      <w:r w:rsidRPr="008B4DA8">
        <w:rPr>
          <w:sz w:val="20"/>
        </w:rPr>
        <w:t xml:space="preserve">Skills are embedded throughout the course. It should be noted that many of the skills listed below are core professional skills and thus required by the National Youth Agency and included in the QAA Benchmarks. A sample of the skills included at each level of the BA YCW is included below. It should be noted that this is not a finite list. </w:t>
      </w:r>
    </w:p>
    <w:p w14:paraId="34362B65" w14:textId="77777777" w:rsidR="00C25C7D" w:rsidRPr="008B4DA8" w:rsidRDefault="00C25C7D" w:rsidP="00360FB0">
      <w:pPr>
        <w:jc w:val="both"/>
        <w:rPr>
          <w:rFonts w:cs="Arial"/>
          <w:sz w:val="20"/>
        </w:rPr>
      </w:pPr>
    </w:p>
    <w:tbl>
      <w:tblPr>
        <w:tblW w:w="9480" w:type="dxa"/>
        <w:tblLayout w:type="fixed"/>
        <w:tblLook w:val="01E0" w:firstRow="1" w:lastRow="1" w:firstColumn="1" w:lastColumn="1" w:noHBand="0" w:noVBand="0"/>
      </w:tblPr>
      <w:tblGrid>
        <w:gridCol w:w="3227"/>
        <w:gridCol w:w="19"/>
        <w:gridCol w:w="1080"/>
        <w:gridCol w:w="1004"/>
        <w:gridCol w:w="1004"/>
        <w:gridCol w:w="1004"/>
        <w:gridCol w:w="1031"/>
        <w:gridCol w:w="1111"/>
      </w:tblGrid>
      <w:tr w:rsidR="00C25C7D" w:rsidRPr="008B4DA8" w14:paraId="2BC6EFEB" w14:textId="77777777">
        <w:trPr>
          <w:trHeight w:val="487"/>
        </w:trPr>
        <w:tc>
          <w:tcPr>
            <w:tcW w:w="9480" w:type="dxa"/>
            <w:gridSpan w:val="8"/>
            <w:tcBorders>
              <w:top w:val="single" w:sz="4" w:space="0" w:color="auto"/>
              <w:left w:val="single" w:sz="4" w:space="0" w:color="auto"/>
              <w:bottom w:val="single" w:sz="4" w:space="0" w:color="auto"/>
              <w:right w:val="single" w:sz="4" w:space="0" w:color="auto"/>
            </w:tcBorders>
            <w:shd w:val="clear" w:color="auto" w:fill="CCCCCC"/>
          </w:tcPr>
          <w:p w14:paraId="1D2B9384" w14:textId="77777777" w:rsidR="00C25C7D" w:rsidRPr="008B4DA8" w:rsidRDefault="00C25C7D" w:rsidP="00360FB0">
            <w:pPr>
              <w:jc w:val="both"/>
              <w:rPr>
                <w:rFonts w:cs="Arial"/>
                <w:b/>
                <w:sz w:val="20"/>
              </w:rPr>
            </w:pPr>
            <w:r w:rsidRPr="008B4DA8">
              <w:rPr>
                <w:rFonts w:cs="Arial"/>
                <w:b/>
                <w:sz w:val="20"/>
              </w:rPr>
              <w:t>LEVEL</w:t>
            </w:r>
          </w:p>
        </w:tc>
      </w:tr>
      <w:tr w:rsidR="00C25C7D" w:rsidRPr="008B4DA8" w14:paraId="70BB8F36" w14:textId="77777777">
        <w:trPr>
          <w:cantSplit/>
          <w:trHeight w:val="655"/>
        </w:trPr>
        <w:tc>
          <w:tcPr>
            <w:tcW w:w="3246" w:type="dxa"/>
            <w:gridSpan w:val="2"/>
            <w:vMerge w:val="restart"/>
            <w:tcBorders>
              <w:top w:val="single" w:sz="4" w:space="0" w:color="auto"/>
              <w:left w:val="single" w:sz="4" w:space="0" w:color="auto"/>
              <w:right w:val="single" w:sz="4" w:space="0" w:color="auto"/>
            </w:tcBorders>
          </w:tcPr>
          <w:p w14:paraId="09EED05C" w14:textId="77777777" w:rsidR="00C25C7D" w:rsidRPr="008B4DA8" w:rsidRDefault="00C25C7D" w:rsidP="00360FB0">
            <w:pPr>
              <w:jc w:val="both"/>
              <w:rPr>
                <w:rFonts w:cs="Arial"/>
                <w:b/>
                <w:sz w:val="20"/>
              </w:rPr>
            </w:pPr>
            <w:r w:rsidRPr="008B4DA8">
              <w:rPr>
                <w:rFonts w:cs="Arial"/>
                <w:b/>
                <w:sz w:val="20"/>
              </w:rPr>
              <w:t>Module Levels and Titles</w:t>
            </w:r>
          </w:p>
        </w:tc>
        <w:tc>
          <w:tcPr>
            <w:tcW w:w="1080" w:type="dxa"/>
            <w:tcBorders>
              <w:top w:val="single" w:sz="4" w:space="0" w:color="auto"/>
              <w:left w:val="single" w:sz="4" w:space="0" w:color="auto"/>
              <w:bottom w:val="single" w:sz="4" w:space="0" w:color="auto"/>
              <w:right w:val="single" w:sz="4" w:space="0" w:color="auto"/>
            </w:tcBorders>
          </w:tcPr>
          <w:p w14:paraId="29BBFF90" w14:textId="77777777" w:rsidR="00C25C7D" w:rsidRPr="008B4DA8" w:rsidRDefault="00C25C7D" w:rsidP="00360FB0">
            <w:pPr>
              <w:jc w:val="both"/>
              <w:rPr>
                <w:rFonts w:cs="Arial"/>
                <w:b/>
                <w:sz w:val="20"/>
              </w:rPr>
            </w:pPr>
            <w:r w:rsidRPr="008B4DA8">
              <w:rPr>
                <w:rFonts w:cs="Arial"/>
                <w:b/>
                <w:sz w:val="20"/>
              </w:rPr>
              <w:t>Foundation level Module</w:t>
            </w:r>
          </w:p>
        </w:tc>
        <w:tc>
          <w:tcPr>
            <w:tcW w:w="1004" w:type="dxa"/>
            <w:tcBorders>
              <w:top w:val="single" w:sz="4" w:space="0" w:color="auto"/>
              <w:left w:val="single" w:sz="4" w:space="0" w:color="auto"/>
              <w:bottom w:val="single" w:sz="4" w:space="0" w:color="auto"/>
              <w:right w:val="single" w:sz="4" w:space="0" w:color="auto"/>
            </w:tcBorders>
          </w:tcPr>
          <w:p w14:paraId="2C47FC40" w14:textId="77777777" w:rsidR="00C25C7D" w:rsidRPr="008B4DA8" w:rsidRDefault="00C25C7D" w:rsidP="00360FB0">
            <w:pPr>
              <w:jc w:val="both"/>
              <w:rPr>
                <w:rFonts w:cs="Arial"/>
                <w:b/>
                <w:sz w:val="20"/>
              </w:rPr>
            </w:pPr>
            <w:r w:rsidRPr="008B4DA8">
              <w:rPr>
                <w:rFonts w:cs="Arial"/>
                <w:b/>
                <w:sz w:val="20"/>
              </w:rPr>
              <w:t>Foundation level Module</w:t>
            </w:r>
          </w:p>
        </w:tc>
        <w:tc>
          <w:tcPr>
            <w:tcW w:w="1004" w:type="dxa"/>
            <w:tcBorders>
              <w:top w:val="single" w:sz="4" w:space="0" w:color="auto"/>
              <w:left w:val="single" w:sz="4" w:space="0" w:color="auto"/>
              <w:bottom w:val="single" w:sz="4" w:space="0" w:color="auto"/>
              <w:right w:val="single" w:sz="4" w:space="0" w:color="auto"/>
            </w:tcBorders>
          </w:tcPr>
          <w:p w14:paraId="60A4DAEC" w14:textId="77777777" w:rsidR="00C25C7D" w:rsidRPr="008B4DA8" w:rsidRDefault="00C25C7D" w:rsidP="00360FB0">
            <w:pPr>
              <w:jc w:val="both"/>
              <w:rPr>
                <w:rFonts w:cs="Arial"/>
                <w:b/>
                <w:sz w:val="20"/>
              </w:rPr>
            </w:pPr>
            <w:r w:rsidRPr="008B4DA8">
              <w:rPr>
                <w:rFonts w:cs="Arial"/>
                <w:b/>
                <w:sz w:val="20"/>
              </w:rPr>
              <w:t>Intermediate level Module</w:t>
            </w:r>
          </w:p>
        </w:tc>
        <w:tc>
          <w:tcPr>
            <w:tcW w:w="1004" w:type="dxa"/>
            <w:tcBorders>
              <w:top w:val="single" w:sz="4" w:space="0" w:color="auto"/>
              <w:left w:val="single" w:sz="4" w:space="0" w:color="auto"/>
              <w:bottom w:val="single" w:sz="4" w:space="0" w:color="auto"/>
              <w:right w:val="single" w:sz="4" w:space="0" w:color="auto"/>
            </w:tcBorders>
          </w:tcPr>
          <w:p w14:paraId="2F6F6800" w14:textId="77777777" w:rsidR="00C25C7D" w:rsidRPr="008B4DA8" w:rsidRDefault="00C25C7D" w:rsidP="00360FB0">
            <w:pPr>
              <w:jc w:val="both"/>
              <w:rPr>
                <w:rFonts w:cs="Arial"/>
                <w:b/>
                <w:sz w:val="20"/>
              </w:rPr>
            </w:pPr>
            <w:r w:rsidRPr="008B4DA8">
              <w:rPr>
                <w:rFonts w:cs="Arial"/>
                <w:b/>
                <w:sz w:val="20"/>
              </w:rPr>
              <w:t>Intermediate level Module</w:t>
            </w:r>
          </w:p>
        </w:tc>
        <w:tc>
          <w:tcPr>
            <w:tcW w:w="1031" w:type="dxa"/>
            <w:tcBorders>
              <w:top w:val="single" w:sz="4" w:space="0" w:color="auto"/>
              <w:left w:val="single" w:sz="4" w:space="0" w:color="auto"/>
              <w:bottom w:val="single" w:sz="4" w:space="0" w:color="auto"/>
              <w:right w:val="single" w:sz="4" w:space="0" w:color="auto"/>
            </w:tcBorders>
          </w:tcPr>
          <w:p w14:paraId="5FF5A0CA" w14:textId="77777777" w:rsidR="00C25C7D" w:rsidRPr="008B4DA8" w:rsidRDefault="00C25C7D" w:rsidP="00360FB0">
            <w:pPr>
              <w:jc w:val="both"/>
              <w:rPr>
                <w:rFonts w:cs="Arial"/>
                <w:b/>
                <w:sz w:val="20"/>
              </w:rPr>
            </w:pPr>
            <w:r w:rsidRPr="008B4DA8">
              <w:rPr>
                <w:rFonts w:cs="Arial"/>
                <w:b/>
                <w:sz w:val="20"/>
              </w:rPr>
              <w:t>Honours level Module</w:t>
            </w:r>
          </w:p>
        </w:tc>
        <w:tc>
          <w:tcPr>
            <w:tcW w:w="1111" w:type="dxa"/>
            <w:tcBorders>
              <w:top w:val="single" w:sz="4" w:space="0" w:color="auto"/>
              <w:left w:val="single" w:sz="4" w:space="0" w:color="auto"/>
              <w:bottom w:val="single" w:sz="4" w:space="0" w:color="auto"/>
              <w:right w:val="single" w:sz="4" w:space="0" w:color="auto"/>
            </w:tcBorders>
          </w:tcPr>
          <w:p w14:paraId="6D264896" w14:textId="77777777" w:rsidR="00C25C7D" w:rsidRPr="008B4DA8" w:rsidRDefault="00C25C7D" w:rsidP="00360FB0">
            <w:pPr>
              <w:jc w:val="both"/>
              <w:rPr>
                <w:rFonts w:cs="Arial"/>
                <w:b/>
                <w:sz w:val="20"/>
              </w:rPr>
            </w:pPr>
            <w:r w:rsidRPr="008B4DA8">
              <w:rPr>
                <w:rFonts w:cs="Arial"/>
                <w:b/>
                <w:sz w:val="20"/>
              </w:rPr>
              <w:t>Honours level Module</w:t>
            </w:r>
          </w:p>
        </w:tc>
      </w:tr>
      <w:tr w:rsidR="00C25C7D" w:rsidRPr="008B4DA8" w14:paraId="4C6BDD8F" w14:textId="77777777">
        <w:trPr>
          <w:cantSplit/>
          <w:trHeight w:val="1703"/>
        </w:trPr>
        <w:tc>
          <w:tcPr>
            <w:tcW w:w="3246" w:type="dxa"/>
            <w:gridSpan w:val="2"/>
            <w:vMerge/>
            <w:tcBorders>
              <w:left w:val="single" w:sz="4" w:space="0" w:color="auto"/>
              <w:bottom w:val="single" w:sz="4" w:space="0" w:color="auto"/>
              <w:right w:val="single" w:sz="4" w:space="0" w:color="auto"/>
            </w:tcBorders>
          </w:tcPr>
          <w:p w14:paraId="6671FA09" w14:textId="77777777" w:rsidR="00C25C7D" w:rsidRPr="008B4DA8" w:rsidRDefault="00C25C7D" w:rsidP="00360FB0">
            <w:pPr>
              <w:jc w:val="both"/>
              <w:rPr>
                <w:rFonts w:cs="Arial"/>
                <w:b/>
                <w:sz w:val="20"/>
              </w:rPr>
            </w:pPr>
          </w:p>
        </w:tc>
        <w:tc>
          <w:tcPr>
            <w:tcW w:w="1080" w:type="dxa"/>
            <w:tcBorders>
              <w:top w:val="single" w:sz="4" w:space="0" w:color="auto"/>
              <w:left w:val="single" w:sz="4" w:space="0" w:color="auto"/>
              <w:bottom w:val="single" w:sz="4" w:space="0" w:color="auto"/>
              <w:right w:val="single" w:sz="4" w:space="0" w:color="auto"/>
            </w:tcBorders>
            <w:textDirection w:val="btLr"/>
          </w:tcPr>
          <w:p w14:paraId="3D920901" w14:textId="77777777" w:rsidR="00C25C7D" w:rsidRPr="008B4DA8" w:rsidRDefault="00C25C7D" w:rsidP="00360FB0">
            <w:pPr>
              <w:ind w:left="113" w:right="113"/>
              <w:jc w:val="both"/>
              <w:rPr>
                <w:rFonts w:cs="Arial"/>
                <w:b/>
                <w:sz w:val="20"/>
              </w:rPr>
            </w:pPr>
          </w:p>
          <w:p w14:paraId="26704E1F" w14:textId="77777777" w:rsidR="00C25C7D" w:rsidRPr="008B4DA8" w:rsidRDefault="00C25C7D" w:rsidP="00360FB0">
            <w:pPr>
              <w:ind w:left="113" w:right="113"/>
              <w:jc w:val="both"/>
              <w:rPr>
                <w:rFonts w:cs="Arial"/>
                <w:b/>
                <w:sz w:val="20"/>
              </w:rPr>
            </w:pPr>
            <w:r w:rsidRPr="008B4DA8">
              <w:rPr>
                <w:sz w:val="20"/>
              </w:rPr>
              <w:t>Foundations for Practice</w:t>
            </w:r>
          </w:p>
        </w:tc>
        <w:tc>
          <w:tcPr>
            <w:tcW w:w="1004" w:type="dxa"/>
            <w:tcBorders>
              <w:top w:val="single" w:sz="4" w:space="0" w:color="auto"/>
              <w:left w:val="single" w:sz="4" w:space="0" w:color="auto"/>
              <w:bottom w:val="single" w:sz="4" w:space="0" w:color="auto"/>
              <w:right w:val="single" w:sz="4" w:space="0" w:color="auto"/>
            </w:tcBorders>
            <w:textDirection w:val="btLr"/>
          </w:tcPr>
          <w:p w14:paraId="3D71BE2C" w14:textId="77777777" w:rsidR="00C25C7D" w:rsidRPr="008B4DA8" w:rsidRDefault="00C25C7D" w:rsidP="00360FB0">
            <w:pPr>
              <w:ind w:left="113" w:right="113"/>
              <w:jc w:val="both"/>
              <w:rPr>
                <w:rFonts w:cs="Arial"/>
                <w:b/>
                <w:sz w:val="20"/>
              </w:rPr>
            </w:pPr>
          </w:p>
          <w:p w14:paraId="4F997FB1" w14:textId="77777777" w:rsidR="00C25C7D" w:rsidRPr="008B4DA8" w:rsidRDefault="00BF41C3" w:rsidP="00360FB0">
            <w:pPr>
              <w:ind w:left="113" w:right="113"/>
              <w:jc w:val="both"/>
              <w:rPr>
                <w:rFonts w:cs="Arial"/>
                <w:b/>
                <w:sz w:val="20"/>
              </w:rPr>
            </w:pPr>
            <w:r>
              <w:rPr>
                <w:rFonts w:cs="Arial"/>
                <w:sz w:val="20"/>
              </w:rPr>
              <w:t>Theories and Strategies for Learning</w:t>
            </w:r>
            <w:r w:rsidR="00AF51B2">
              <w:rPr>
                <w:rFonts w:cs="Arial"/>
                <w:sz w:val="20"/>
              </w:rPr>
              <w:t xml:space="preserve"> Theories and Strategies for Learning</w:t>
            </w:r>
          </w:p>
          <w:p w14:paraId="4EC47DBF" w14:textId="77777777" w:rsidR="00C25C7D" w:rsidRPr="008B4DA8" w:rsidRDefault="00C25C7D" w:rsidP="00360FB0">
            <w:pPr>
              <w:ind w:left="113" w:right="113"/>
              <w:jc w:val="both"/>
              <w:rPr>
                <w:rFonts w:cs="Arial"/>
                <w:b/>
                <w:sz w:val="20"/>
              </w:rPr>
            </w:pPr>
          </w:p>
        </w:tc>
        <w:tc>
          <w:tcPr>
            <w:tcW w:w="1004" w:type="dxa"/>
            <w:tcBorders>
              <w:top w:val="single" w:sz="4" w:space="0" w:color="auto"/>
              <w:left w:val="single" w:sz="4" w:space="0" w:color="auto"/>
              <w:bottom w:val="single" w:sz="4" w:space="0" w:color="auto"/>
              <w:right w:val="single" w:sz="4" w:space="0" w:color="auto"/>
            </w:tcBorders>
            <w:textDirection w:val="btLr"/>
          </w:tcPr>
          <w:p w14:paraId="6318D70F" w14:textId="77777777" w:rsidR="00C25C7D" w:rsidRPr="008B4DA8" w:rsidRDefault="00C25C7D" w:rsidP="00360FB0">
            <w:pPr>
              <w:ind w:left="113" w:right="113"/>
              <w:jc w:val="both"/>
              <w:rPr>
                <w:rFonts w:cs="Arial"/>
                <w:b/>
                <w:sz w:val="20"/>
              </w:rPr>
            </w:pPr>
          </w:p>
          <w:p w14:paraId="4AFF5003" w14:textId="77777777" w:rsidR="00C25C7D" w:rsidRPr="008B4DA8" w:rsidRDefault="00F53E6C" w:rsidP="00360FB0">
            <w:pPr>
              <w:ind w:left="113" w:right="113"/>
              <w:jc w:val="both"/>
              <w:rPr>
                <w:rFonts w:cs="Arial"/>
                <w:b/>
                <w:sz w:val="20"/>
              </w:rPr>
            </w:pPr>
            <w:r>
              <w:rPr>
                <w:sz w:val="20"/>
              </w:rPr>
              <w:t>Working in Community Settings</w:t>
            </w:r>
          </w:p>
          <w:p w14:paraId="3FAD5CB4" w14:textId="77777777" w:rsidR="00C25C7D" w:rsidRPr="008B4DA8" w:rsidRDefault="00C25C7D" w:rsidP="00360FB0">
            <w:pPr>
              <w:ind w:left="113" w:right="113"/>
              <w:jc w:val="both"/>
              <w:rPr>
                <w:rFonts w:cs="Arial"/>
                <w:b/>
                <w:sz w:val="20"/>
              </w:rPr>
            </w:pPr>
          </w:p>
        </w:tc>
        <w:tc>
          <w:tcPr>
            <w:tcW w:w="1004" w:type="dxa"/>
            <w:tcBorders>
              <w:top w:val="single" w:sz="4" w:space="0" w:color="auto"/>
              <w:left w:val="single" w:sz="4" w:space="0" w:color="auto"/>
              <w:bottom w:val="single" w:sz="4" w:space="0" w:color="auto"/>
              <w:right w:val="single" w:sz="4" w:space="0" w:color="auto"/>
            </w:tcBorders>
            <w:textDirection w:val="btLr"/>
          </w:tcPr>
          <w:p w14:paraId="78CA4885" w14:textId="77777777" w:rsidR="00C25C7D" w:rsidRPr="008B4DA8" w:rsidRDefault="00C25C7D" w:rsidP="00360FB0">
            <w:pPr>
              <w:ind w:left="113" w:right="113"/>
              <w:jc w:val="both"/>
              <w:rPr>
                <w:rFonts w:cs="Arial"/>
                <w:b/>
                <w:sz w:val="20"/>
              </w:rPr>
            </w:pPr>
          </w:p>
          <w:p w14:paraId="034CFC13" w14:textId="77777777" w:rsidR="00C25C7D" w:rsidRPr="008B4DA8" w:rsidRDefault="00C25C7D" w:rsidP="00360FB0">
            <w:pPr>
              <w:ind w:left="113" w:right="113"/>
              <w:jc w:val="both"/>
              <w:rPr>
                <w:rFonts w:cs="Arial"/>
                <w:b/>
                <w:sz w:val="20"/>
              </w:rPr>
            </w:pPr>
            <w:r w:rsidRPr="008B4DA8">
              <w:rPr>
                <w:sz w:val="20"/>
              </w:rPr>
              <w:t>People in Action</w:t>
            </w:r>
          </w:p>
          <w:p w14:paraId="3B6F0BCA" w14:textId="77777777" w:rsidR="00C25C7D" w:rsidRPr="008B4DA8" w:rsidRDefault="00C25C7D" w:rsidP="00360FB0">
            <w:pPr>
              <w:ind w:left="113" w:right="113"/>
              <w:jc w:val="both"/>
              <w:rPr>
                <w:rFonts w:cs="Arial"/>
                <w:b/>
                <w:sz w:val="20"/>
              </w:rPr>
            </w:pPr>
          </w:p>
        </w:tc>
        <w:tc>
          <w:tcPr>
            <w:tcW w:w="1031" w:type="dxa"/>
            <w:tcBorders>
              <w:top w:val="single" w:sz="4" w:space="0" w:color="auto"/>
              <w:left w:val="single" w:sz="4" w:space="0" w:color="auto"/>
              <w:bottom w:val="single" w:sz="4" w:space="0" w:color="auto"/>
              <w:right w:val="single" w:sz="4" w:space="0" w:color="auto"/>
            </w:tcBorders>
            <w:textDirection w:val="btLr"/>
          </w:tcPr>
          <w:p w14:paraId="2E2428A4" w14:textId="77777777" w:rsidR="00C25C7D" w:rsidRPr="008B4DA8" w:rsidRDefault="00C25C7D" w:rsidP="00360FB0">
            <w:pPr>
              <w:ind w:left="113" w:right="113"/>
              <w:jc w:val="both"/>
              <w:rPr>
                <w:rFonts w:cs="Arial"/>
                <w:b/>
                <w:sz w:val="20"/>
              </w:rPr>
            </w:pPr>
          </w:p>
          <w:p w14:paraId="3C37E768" w14:textId="77777777" w:rsidR="00C25C7D" w:rsidRPr="008B4DA8" w:rsidRDefault="00C25C7D" w:rsidP="00360FB0">
            <w:pPr>
              <w:ind w:left="113" w:right="113"/>
              <w:jc w:val="both"/>
              <w:rPr>
                <w:rFonts w:cs="Arial"/>
                <w:b/>
                <w:sz w:val="20"/>
              </w:rPr>
            </w:pPr>
            <w:r w:rsidRPr="008B4DA8">
              <w:rPr>
                <w:sz w:val="20"/>
              </w:rPr>
              <w:t>Theorising Advanced Practice</w:t>
            </w:r>
          </w:p>
          <w:p w14:paraId="47B553BA" w14:textId="77777777" w:rsidR="00C25C7D" w:rsidRPr="008B4DA8" w:rsidRDefault="00C25C7D" w:rsidP="00360FB0">
            <w:pPr>
              <w:ind w:left="113" w:right="113"/>
              <w:jc w:val="both"/>
              <w:rPr>
                <w:rFonts w:cs="Arial"/>
                <w:b/>
                <w:sz w:val="20"/>
              </w:rPr>
            </w:pPr>
          </w:p>
        </w:tc>
        <w:tc>
          <w:tcPr>
            <w:tcW w:w="1111" w:type="dxa"/>
            <w:tcBorders>
              <w:top w:val="single" w:sz="4" w:space="0" w:color="auto"/>
              <w:left w:val="single" w:sz="4" w:space="0" w:color="auto"/>
              <w:bottom w:val="single" w:sz="4" w:space="0" w:color="auto"/>
              <w:right w:val="single" w:sz="4" w:space="0" w:color="auto"/>
            </w:tcBorders>
            <w:textDirection w:val="btLr"/>
          </w:tcPr>
          <w:p w14:paraId="1259E356" w14:textId="77777777" w:rsidR="00C25C7D" w:rsidRPr="008B4DA8" w:rsidRDefault="00C25C7D" w:rsidP="00360FB0">
            <w:pPr>
              <w:ind w:left="113" w:right="113"/>
              <w:jc w:val="both"/>
              <w:rPr>
                <w:rFonts w:cs="Arial"/>
                <w:b/>
                <w:sz w:val="20"/>
              </w:rPr>
            </w:pPr>
          </w:p>
          <w:p w14:paraId="1D7308C6" w14:textId="77777777" w:rsidR="00C25C7D" w:rsidRPr="008B4DA8" w:rsidRDefault="00C25C7D" w:rsidP="00360FB0">
            <w:pPr>
              <w:ind w:left="113" w:right="113"/>
              <w:jc w:val="both"/>
              <w:rPr>
                <w:rFonts w:cs="Arial"/>
                <w:b/>
                <w:sz w:val="20"/>
              </w:rPr>
            </w:pPr>
            <w:r w:rsidRPr="008B4DA8">
              <w:rPr>
                <w:rFonts w:cs="Arial"/>
                <w:sz w:val="20"/>
              </w:rPr>
              <w:t>Research Methodologies</w:t>
            </w:r>
          </w:p>
          <w:p w14:paraId="6124660D" w14:textId="77777777" w:rsidR="00C25C7D" w:rsidRPr="008B4DA8" w:rsidRDefault="00C25C7D" w:rsidP="00360FB0">
            <w:pPr>
              <w:ind w:left="113" w:right="113"/>
              <w:jc w:val="both"/>
              <w:rPr>
                <w:rFonts w:cs="Arial"/>
                <w:b/>
                <w:sz w:val="20"/>
              </w:rPr>
            </w:pPr>
          </w:p>
        </w:tc>
      </w:tr>
      <w:tr w:rsidR="00C25C7D" w:rsidRPr="008B4DA8" w14:paraId="3C28F11A" w14:textId="77777777">
        <w:trPr>
          <w:trHeight w:val="125"/>
        </w:trPr>
        <w:tc>
          <w:tcPr>
            <w:tcW w:w="3227" w:type="dxa"/>
            <w:tcBorders>
              <w:top w:val="single" w:sz="4" w:space="0" w:color="auto"/>
              <w:left w:val="single" w:sz="4" w:space="0" w:color="auto"/>
              <w:bottom w:val="single" w:sz="4" w:space="0" w:color="auto"/>
              <w:right w:val="single" w:sz="4" w:space="0" w:color="auto"/>
            </w:tcBorders>
          </w:tcPr>
          <w:p w14:paraId="611F92CF" w14:textId="77777777" w:rsidR="00C25C7D" w:rsidRPr="008B4DA8" w:rsidRDefault="00C25C7D" w:rsidP="00360FB0">
            <w:pPr>
              <w:jc w:val="both"/>
              <w:rPr>
                <w:rFonts w:cs="Arial"/>
                <w:sz w:val="20"/>
              </w:rPr>
            </w:pPr>
            <w:r w:rsidRPr="008B4DA8">
              <w:rPr>
                <w:rFonts w:cs="Arial"/>
                <w:sz w:val="20"/>
              </w:rPr>
              <w:t>Critical Thinking</w:t>
            </w:r>
          </w:p>
        </w:tc>
        <w:tc>
          <w:tcPr>
            <w:tcW w:w="1099" w:type="dxa"/>
            <w:gridSpan w:val="2"/>
            <w:tcBorders>
              <w:top w:val="single" w:sz="4" w:space="0" w:color="auto"/>
              <w:left w:val="single" w:sz="4" w:space="0" w:color="auto"/>
              <w:bottom w:val="single" w:sz="4" w:space="0" w:color="auto"/>
              <w:right w:val="single" w:sz="4" w:space="0" w:color="auto"/>
            </w:tcBorders>
          </w:tcPr>
          <w:p w14:paraId="13500391"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7FA58885"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0C735506"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3F9180A6" w14:textId="77777777" w:rsidR="00C25C7D" w:rsidRPr="008B4DA8" w:rsidRDefault="00C25C7D" w:rsidP="00360FB0">
            <w:pPr>
              <w:jc w:val="both"/>
              <w:rPr>
                <w:rFonts w:cs="Arial"/>
                <w:sz w:val="20"/>
              </w:rPr>
            </w:pPr>
          </w:p>
        </w:tc>
        <w:tc>
          <w:tcPr>
            <w:tcW w:w="1031" w:type="dxa"/>
            <w:tcBorders>
              <w:top w:val="single" w:sz="4" w:space="0" w:color="auto"/>
              <w:left w:val="single" w:sz="4" w:space="0" w:color="auto"/>
              <w:bottom w:val="single" w:sz="4" w:space="0" w:color="auto"/>
              <w:right w:val="single" w:sz="4" w:space="0" w:color="auto"/>
            </w:tcBorders>
          </w:tcPr>
          <w:p w14:paraId="4C01465B" w14:textId="77777777" w:rsidR="00C25C7D" w:rsidRPr="008B4DA8" w:rsidRDefault="00C25C7D" w:rsidP="00360FB0">
            <w:pPr>
              <w:jc w:val="both"/>
              <w:rPr>
                <w:rFonts w:cs="Arial"/>
                <w:sz w:val="20"/>
              </w:rPr>
            </w:pPr>
            <w:r w:rsidRPr="008B4DA8">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67F4FA08" w14:textId="77777777" w:rsidR="00C25C7D" w:rsidRPr="008B4DA8" w:rsidRDefault="00C25C7D" w:rsidP="00360FB0">
            <w:pPr>
              <w:jc w:val="both"/>
              <w:rPr>
                <w:rFonts w:cs="Arial"/>
                <w:sz w:val="20"/>
              </w:rPr>
            </w:pPr>
            <w:r w:rsidRPr="008B4DA8">
              <w:rPr>
                <w:rFonts w:cs="Arial"/>
                <w:sz w:val="20"/>
              </w:rPr>
              <w:t>x</w:t>
            </w:r>
          </w:p>
        </w:tc>
      </w:tr>
      <w:tr w:rsidR="00C25C7D" w:rsidRPr="008B4DA8" w14:paraId="21FEEF17" w14:textId="77777777">
        <w:trPr>
          <w:trHeight w:val="204"/>
        </w:trPr>
        <w:tc>
          <w:tcPr>
            <w:tcW w:w="3227" w:type="dxa"/>
            <w:tcBorders>
              <w:top w:val="single" w:sz="4" w:space="0" w:color="auto"/>
              <w:left w:val="single" w:sz="4" w:space="0" w:color="auto"/>
              <w:bottom w:val="single" w:sz="4" w:space="0" w:color="auto"/>
              <w:right w:val="single" w:sz="4" w:space="0" w:color="auto"/>
            </w:tcBorders>
          </w:tcPr>
          <w:p w14:paraId="09B65761" w14:textId="77777777" w:rsidR="00C25C7D" w:rsidRPr="008B4DA8" w:rsidRDefault="00C25C7D" w:rsidP="00360FB0">
            <w:pPr>
              <w:jc w:val="both"/>
              <w:rPr>
                <w:rFonts w:cs="Arial"/>
                <w:sz w:val="20"/>
              </w:rPr>
            </w:pPr>
            <w:proofErr w:type="spellStart"/>
            <w:r w:rsidRPr="008B4DA8">
              <w:rPr>
                <w:rFonts w:cs="Arial"/>
                <w:sz w:val="20"/>
              </w:rPr>
              <w:t>Self reflection</w:t>
            </w:r>
            <w:proofErr w:type="spellEnd"/>
          </w:p>
        </w:tc>
        <w:tc>
          <w:tcPr>
            <w:tcW w:w="1099" w:type="dxa"/>
            <w:gridSpan w:val="2"/>
            <w:tcBorders>
              <w:top w:val="single" w:sz="4" w:space="0" w:color="auto"/>
              <w:left w:val="single" w:sz="4" w:space="0" w:color="auto"/>
              <w:bottom w:val="single" w:sz="4" w:space="0" w:color="auto"/>
              <w:right w:val="single" w:sz="4" w:space="0" w:color="auto"/>
            </w:tcBorders>
          </w:tcPr>
          <w:p w14:paraId="3342CB0D"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24748F03"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269F1F0A"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417677E8" w14:textId="77777777" w:rsidR="00C25C7D" w:rsidRPr="008B4DA8" w:rsidRDefault="00C25C7D" w:rsidP="00360FB0">
            <w:pPr>
              <w:jc w:val="both"/>
              <w:rPr>
                <w:rFonts w:cs="Arial"/>
                <w:sz w:val="20"/>
              </w:rPr>
            </w:pPr>
          </w:p>
        </w:tc>
        <w:tc>
          <w:tcPr>
            <w:tcW w:w="1031" w:type="dxa"/>
            <w:tcBorders>
              <w:top w:val="single" w:sz="4" w:space="0" w:color="auto"/>
              <w:left w:val="single" w:sz="4" w:space="0" w:color="auto"/>
              <w:bottom w:val="single" w:sz="4" w:space="0" w:color="auto"/>
              <w:right w:val="single" w:sz="4" w:space="0" w:color="auto"/>
            </w:tcBorders>
          </w:tcPr>
          <w:p w14:paraId="78E2DEBD" w14:textId="77777777" w:rsidR="00C25C7D" w:rsidRPr="008B4DA8" w:rsidRDefault="00C25C7D" w:rsidP="00360FB0">
            <w:pPr>
              <w:jc w:val="both"/>
              <w:rPr>
                <w:rFonts w:cs="Arial"/>
                <w:sz w:val="20"/>
              </w:rPr>
            </w:pPr>
            <w:r w:rsidRPr="008B4DA8">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3287E23C" w14:textId="77777777" w:rsidR="00C25C7D" w:rsidRPr="008B4DA8" w:rsidRDefault="00C25C7D" w:rsidP="00360FB0">
            <w:pPr>
              <w:jc w:val="both"/>
              <w:rPr>
                <w:rFonts w:cs="Arial"/>
                <w:sz w:val="20"/>
              </w:rPr>
            </w:pPr>
          </w:p>
        </w:tc>
      </w:tr>
      <w:tr w:rsidR="00C25C7D" w:rsidRPr="008B4DA8" w14:paraId="6D96BECF" w14:textId="77777777">
        <w:trPr>
          <w:trHeight w:val="136"/>
        </w:trPr>
        <w:tc>
          <w:tcPr>
            <w:tcW w:w="3227" w:type="dxa"/>
            <w:tcBorders>
              <w:top w:val="single" w:sz="4" w:space="0" w:color="auto"/>
              <w:left w:val="single" w:sz="4" w:space="0" w:color="auto"/>
              <w:bottom w:val="single" w:sz="4" w:space="0" w:color="auto"/>
              <w:right w:val="single" w:sz="4" w:space="0" w:color="auto"/>
            </w:tcBorders>
          </w:tcPr>
          <w:p w14:paraId="4C271049" w14:textId="77777777" w:rsidR="00C25C7D" w:rsidRPr="008B4DA8" w:rsidRDefault="00C25C7D" w:rsidP="00360FB0">
            <w:pPr>
              <w:jc w:val="both"/>
              <w:rPr>
                <w:rFonts w:cs="Arial"/>
                <w:sz w:val="20"/>
              </w:rPr>
            </w:pPr>
            <w:r w:rsidRPr="008B4DA8">
              <w:rPr>
                <w:rFonts w:cs="Arial"/>
                <w:sz w:val="20"/>
              </w:rPr>
              <w:t>Note-making skills</w:t>
            </w:r>
          </w:p>
        </w:tc>
        <w:tc>
          <w:tcPr>
            <w:tcW w:w="1099" w:type="dxa"/>
            <w:gridSpan w:val="2"/>
            <w:tcBorders>
              <w:top w:val="single" w:sz="4" w:space="0" w:color="auto"/>
              <w:left w:val="single" w:sz="4" w:space="0" w:color="auto"/>
              <w:bottom w:val="single" w:sz="4" w:space="0" w:color="auto"/>
              <w:right w:val="single" w:sz="4" w:space="0" w:color="auto"/>
            </w:tcBorders>
          </w:tcPr>
          <w:p w14:paraId="11A88C93"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0A25A4E5"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61338F39"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120A7A17"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36FA8BEA" w14:textId="77777777" w:rsidR="00C25C7D" w:rsidRPr="008B4DA8" w:rsidRDefault="00B31399" w:rsidP="00360FB0">
            <w:pPr>
              <w:jc w:val="both"/>
              <w:rPr>
                <w:rFonts w:cs="Arial"/>
                <w:sz w:val="20"/>
              </w:rPr>
            </w:pPr>
            <w:r>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44D65564" w14:textId="77777777" w:rsidR="00C25C7D" w:rsidRPr="008B4DA8" w:rsidRDefault="00C25C7D" w:rsidP="00360FB0">
            <w:pPr>
              <w:jc w:val="both"/>
              <w:rPr>
                <w:rFonts w:cs="Arial"/>
                <w:sz w:val="20"/>
              </w:rPr>
            </w:pPr>
            <w:r w:rsidRPr="008B4DA8">
              <w:rPr>
                <w:rFonts w:cs="Arial"/>
                <w:sz w:val="20"/>
              </w:rPr>
              <w:t>x</w:t>
            </w:r>
          </w:p>
        </w:tc>
      </w:tr>
      <w:tr w:rsidR="00C25C7D" w:rsidRPr="008B4DA8" w14:paraId="1C56CDD9" w14:textId="77777777">
        <w:trPr>
          <w:trHeight w:val="195"/>
        </w:trPr>
        <w:tc>
          <w:tcPr>
            <w:tcW w:w="3227" w:type="dxa"/>
            <w:tcBorders>
              <w:top w:val="single" w:sz="4" w:space="0" w:color="auto"/>
              <w:left w:val="single" w:sz="4" w:space="0" w:color="auto"/>
              <w:bottom w:val="single" w:sz="4" w:space="0" w:color="auto"/>
              <w:right w:val="single" w:sz="4" w:space="0" w:color="auto"/>
            </w:tcBorders>
          </w:tcPr>
          <w:p w14:paraId="4B22F11A" w14:textId="77777777" w:rsidR="00C25C7D" w:rsidRPr="008B4DA8" w:rsidRDefault="00C25C7D" w:rsidP="00360FB0">
            <w:pPr>
              <w:jc w:val="both"/>
              <w:rPr>
                <w:rFonts w:cs="Arial"/>
                <w:sz w:val="20"/>
              </w:rPr>
            </w:pPr>
            <w:r w:rsidRPr="008B4DA8">
              <w:rPr>
                <w:rFonts w:cs="Arial"/>
                <w:sz w:val="20"/>
              </w:rPr>
              <w:t>Oral communication</w:t>
            </w:r>
          </w:p>
        </w:tc>
        <w:tc>
          <w:tcPr>
            <w:tcW w:w="1099" w:type="dxa"/>
            <w:gridSpan w:val="2"/>
            <w:tcBorders>
              <w:top w:val="single" w:sz="4" w:space="0" w:color="auto"/>
              <w:left w:val="single" w:sz="4" w:space="0" w:color="auto"/>
              <w:bottom w:val="single" w:sz="4" w:space="0" w:color="auto"/>
              <w:right w:val="single" w:sz="4" w:space="0" w:color="auto"/>
            </w:tcBorders>
          </w:tcPr>
          <w:p w14:paraId="16884D7C"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06115C20"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6307F570"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435FC445"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4BF96B33" w14:textId="77777777" w:rsidR="00C25C7D" w:rsidRPr="008B4DA8" w:rsidRDefault="00B31399" w:rsidP="00360FB0">
            <w:pPr>
              <w:jc w:val="both"/>
              <w:rPr>
                <w:rFonts w:cs="Arial"/>
                <w:sz w:val="20"/>
              </w:rPr>
            </w:pPr>
            <w:r>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3A925F17" w14:textId="77777777" w:rsidR="00C25C7D" w:rsidRPr="008B4DA8" w:rsidRDefault="00C25C7D" w:rsidP="00360FB0">
            <w:pPr>
              <w:jc w:val="both"/>
              <w:rPr>
                <w:rFonts w:cs="Arial"/>
                <w:sz w:val="20"/>
              </w:rPr>
            </w:pPr>
          </w:p>
        </w:tc>
      </w:tr>
      <w:tr w:rsidR="00C25C7D" w:rsidRPr="008B4DA8" w14:paraId="6C90C93F" w14:textId="77777777">
        <w:trPr>
          <w:trHeight w:val="114"/>
        </w:trPr>
        <w:tc>
          <w:tcPr>
            <w:tcW w:w="3227" w:type="dxa"/>
            <w:tcBorders>
              <w:top w:val="single" w:sz="4" w:space="0" w:color="auto"/>
              <w:left w:val="single" w:sz="4" w:space="0" w:color="auto"/>
              <w:bottom w:val="single" w:sz="4" w:space="0" w:color="auto"/>
              <w:right w:val="single" w:sz="4" w:space="0" w:color="auto"/>
            </w:tcBorders>
          </w:tcPr>
          <w:p w14:paraId="4923C52A" w14:textId="77777777" w:rsidR="00C25C7D" w:rsidRPr="008B4DA8" w:rsidRDefault="00C25C7D" w:rsidP="00360FB0">
            <w:pPr>
              <w:jc w:val="both"/>
              <w:rPr>
                <w:rFonts w:cs="Arial"/>
                <w:sz w:val="20"/>
              </w:rPr>
            </w:pPr>
            <w:r w:rsidRPr="008B4DA8">
              <w:rPr>
                <w:rFonts w:cs="Arial"/>
                <w:sz w:val="20"/>
              </w:rPr>
              <w:t>Formal writing skills</w:t>
            </w:r>
          </w:p>
        </w:tc>
        <w:tc>
          <w:tcPr>
            <w:tcW w:w="1099" w:type="dxa"/>
            <w:gridSpan w:val="2"/>
            <w:tcBorders>
              <w:top w:val="single" w:sz="4" w:space="0" w:color="auto"/>
              <w:left w:val="single" w:sz="4" w:space="0" w:color="auto"/>
              <w:bottom w:val="single" w:sz="4" w:space="0" w:color="auto"/>
              <w:right w:val="single" w:sz="4" w:space="0" w:color="auto"/>
            </w:tcBorders>
          </w:tcPr>
          <w:p w14:paraId="7C4FB319"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1896B3EE"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68817006"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48B389B8" w14:textId="77777777" w:rsidR="00C25C7D" w:rsidRPr="008B4DA8" w:rsidRDefault="00C25C7D" w:rsidP="00360FB0">
            <w:pPr>
              <w:jc w:val="both"/>
              <w:rPr>
                <w:rFonts w:cs="Arial"/>
                <w:sz w:val="20"/>
              </w:rPr>
            </w:pPr>
          </w:p>
        </w:tc>
        <w:tc>
          <w:tcPr>
            <w:tcW w:w="1031" w:type="dxa"/>
            <w:tcBorders>
              <w:top w:val="single" w:sz="4" w:space="0" w:color="auto"/>
              <w:left w:val="single" w:sz="4" w:space="0" w:color="auto"/>
              <w:bottom w:val="single" w:sz="4" w:space="0" w:color="auto"/>
              <w:right w:val="single" w:sz="4" w:space="0" w:color="auto"/>
            </w:tcBorders>
          </w:tcPr>
          <w:p w14:paraId="2AB73522" w14:textId="77777777" w:rsidR="00C25C7D" w:rsidRPr="008B4DA8" w:rsidRDefault="00B31399" w:rsidP="00360FB0">
            <w:pPr>
              <w:jc w:val="both"/>
              <w:rPr>
                <w:rFonts w:cs="Arial"/>
                <w:sz w:val="20"/>
              </w:rPr>
            </w:pPr>
            <w:r>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517E124C" w14:textId="77777777" w:rsidR="00C25C7D" w:rsidRPr="008B4DA8" w:rsidRDefault="00C25C7D" w:rsidP="00360FB0">
            <w:pPr>
              <w:jc w:val="both"/>
              <w:rPr>
                <w:rFonts w:cs="Arial"/>
                <w:sz w:val="20"/>
              </w:rPr>
            </w:pPr>
            <w:r w:rsidRPr="008B4DA8">
              <w:rPr>
                <w:rFonts w:cs="Arial"/>
                <w:sz w:val="20"/>
              </w:rPr>
              <w:t>x</w:t>
            </w:r>
          </w:p>
        </w:tc>
      </w:tr>
      <w:tr w:rsidR="00C25C7D" w:rsidRPr="008B4DA8" w14:paraId="603B4734" w14:textId="77777777">
        <w:trPr>
          <w:trHeight w:val="174"/>
        </w:trPr>
        <w:tc>
          <w:tcPr>
            <w:tcW w:w="3227" w:type="dxa"/>
            <w:tcBorders>
              <w:top w:val="single" w:sz="4" w:space="0" w:color="auto"/>
              <w:left w:val="single" w:sz="4" w:space="0" w:color="auto"/>
              <w:bottom w:val="single" w:sz="4" w:space="0" w:color="auto"/>
              <w:right w:val="single" w:sz="4" w:space="0" w:color="auto"/>
            </w:tcBorders>
          </w:tcPr>
          <w:p w14:paraId="09855559" w14:textId="77777777" w:rsidR="00C25C7D" w:rsidRPr="008B4DA8" w:rsidRDefault="00C25C7D" w:rsidP="00360FB0">
            <w:pPr>
              <w:jc w:val="both"/>
              <w:rPr>
                <w:rFonts w:cs="Arial"/>
                <w:sz w:val="20"/>
              </w:rPr>
            </w:pPr>
            <w:r w:rsidRPr="008B4DA8">
              <w:rPr>
                <w:rFonts w:cs="Arial"/>
                <w:sz w:val="20"/>
              </w:rPr>
              <w:t>Interpersonal skills</w:t>
            </w:r>
          </w:p>
        </w:tc>
        <w:tc>
          <w:tcPr>
            <w:tcW w:w="1099" w:type="dxa"/>
            <w:gridSpan w:val="2"/>
            <w:tcBorders>
              <w:top w:val="single" w:sz="4" w:space="0" w:color="auto"/>
              <w:left w:val="single" w:sz="4" w:space="0" w:color="auto"/>
              <w:bottom w:val="single" w:sz="4" w:space="0" w:color="auto"/>
              <w:right w:val="single" w:sz="4" w:space="0" w:color="auto"/>
            </w:tcBorders>
          </w:tcPr>
          <w:p w14:paraId="5B27FAB1"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27C93D75"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6E476D38"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4535F4A1"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41F6A4EC" w14:textId="77777777" w:rsidR="00C25C7D" w:rsidRPr="008B4DA8" w:rsidRDefault="00C25C7D" w:rsidP="00360FB0">
            <w:pPr>
              <w:jc w:val="both"/>
              <w:rPr>
                <w:rFonts w:cs="Arial"/>
                <w:sz w:val="20"/>
              </w:rPr>
            </w:pPr>
            <w:r w:rsidRPr="008B4DA8">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2E21C2CF" w14:textId="77777777" w:rsidR="00C25C7D" w:rsidRPr="008B4DA8" w:rsidRDefault="00C25C7D" w:rsidP="00360FB0">
            <w:pPr>
              <w:jc w:val="both"/>
              <w:rPr>
                <w:rFonts w:cs="Arial"/>
                <w:sz w:val="20"/>
              </w:rPr>
            </w:pPr>
          </w:p>
        </w:tc>
      </w:tr>
      <w:tr w:rsidR="00C25C7D" w:rsidRPr="008B4DA8" w14:paraId="0A9A8FD5" w14:textId="77777777">
        <w:trPr>
          <w:trHeight w:val="70"/>
        </w:trPr>
        <w:tc>
          <w:tcPr>
            <w:tcW w:w="3227" w:type="dxa"/>
            <w:tcBorders>
              <w:top w:val="single" w:sz="4" w:space="0" w:color="auto"/>
              <w:left w:val="single" w:sz="4" w:space="0" w:color="auto"/>
              <w:bottom w:val="single" w:sz="4" w:space="0" w:color="auto"/>
              <w:right w:val="single" w:sz="4" w:space="0" w:color="auto"/>
            </w:tcBorders>
          </w:tcPr>
          <w:p w14:paraId="5D278515" w14:textId="77777777" w:rsidR="00C25C7D" w:rsidRPr="008B4DA8" w:rsidRDefault="00C25C7D" w:rsidP="00360FB0">
            <w:pPr>
              <w:jc w:val="both"/>
              <w:rPr>
                <w:rFonts w:cs="Arial"/>
                <w:sz w:val="20"/>
              </w:rPr>
            </w:pPr>
            <w:r w:rsidRPr="008B4DA8">
              <w:rPr>
                <w:rFonts w:cs="Arial"/>
                <w:sz w:val="20"/>
              </w:rPr>
              <w:t>Identifying and solving problems</w:t>
            </w:r>
          </w:p>
        </w:tc>
        <w:tc>
          <w:tcPr>
            <w:tcW w:w="1099" w:type="dxa"/>
            <w:gridSpan w:val="2"/>
            <w:tcBorders>
              <w:top w:val="single" w:sz="4" w:space="0" w:color="auto"/>
              <w:left w:val="single" w:sz="4" w:space="0" w:color="auto"/>
              <w:bottom w:val="single" w:sz="4" w:space="0" w:color="auto"/>
              <w:right w:val="single" w:sz="4" w:space="0" w:color="auto"/>
            </w:tcBorders>
          </w:tcPr>
          <w:p w14:paraId="502965BF"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5F313889"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7E52CC0A"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496A8788"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16DE3577" w14:textId="77777777" w:rsidR="00C25C7D" w:rsidRPr="008B4DA8" w:rsidRDefault="00C25C7D" w:rsidP="00360FB0">
            <w:pPr>
              <w:jc w:val="both"/>
              <w:rPr>
                <w:rFonts w:cs="Arial"/>
                <w:sz w:val="20"/>
              </w:rPr>
            </w:pPr>
            <w:r w:rsidRPr="008B4DA8">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65B5CD87" w14:textId="77777777" w:rsidR="00C25C7D" w:rsidRPr="008B4DA8" w:rsidRDefault="00C25C7D" w:rsidP="00360FB0">
            <w:pPr>
              <w:jc w:val="both"/>
              <w:rPr>
                <w:rFonts w:cs="Arial"/>
                <w:sz w:val="20"/>
              </w:rPr>
            </w:pPr>
            <w:r w:rsidRPr="008B4DA8">
              <w:rPr>
                <w:rFonts w:cs="Arial"/>
                <w:sz w:val="20"/>
              </w:rPr>
              <w:t>x</w:t>
            </w:r>
          </w:p>
        </w:tc>
      </w:tr>
      <w:tr w:rsidR="00C25C7D" w:rsidRPr="008B4DA8" w14:paraId="2DADD284" w14:textId="77777777">
        <w:trPr>
          <w:trHeight w:val="70"/>
        </w:trPr>
        <w:tc>
          <w:tcPr>
            <w:tcW w:w="3227" w:type="dxa"/>
            <w:tcBorders>
              <w:top w:val="single" w:sz="4" w:space="0" w:color="auto"/>
              <w:left w:val="single" w:sz="4" w:space="0" w:color="auto"/>
              <w:bottom w:val="single" w:sz="4" w:space="0" w:color="auto"/>
              <w:right w:val="single" w:sz="4" w:space="0" w:color="auto"/>
            </w:tcBorders>
          </w:tcPr>
          <w:p w14:paraId="668CA569" w14:textId="77777777" w:rsidR="00C25C7D" w:rsidRPr="008B4DA8" w:rsidRDefault="00C25C7D" w:rsidP="00360FB0">
            <w:pPr>
              <w:jc w:val="both"/>
              <w:rPr>
                <w:rFonts w:cs="Arial"/>
                <w:sz w:val="20"/>
              </w:rPr>
            </w:pPr>
            <w:r w:rsidRPr="008B4DA8">
              <w:rPr>
                <w:rFonts w:cs="Arial"/>
                <w:sz w:val="20"/>
              </w:rPr>
              <w:t>Leadership</w:t>
            </w:r>
          </w:p>
        </w:tc>
        <w:tc>
          <w:tcPr>
            <w:tcW w:w="1099" w:type="dxa"/>
            <w:gridSpan w:val="2"/>
            <w:tcBorders>
              <w:top w:val="single" w:sz="4" w:space="0" w:color="auto"/>
              <w:left w:val="single" w:sz="4" w:space="0" w:color="auto"/>
              <w:bottom w:val="single" w:sz="4" w:space="0" w:color="auto"/>
              <w:right w:val="single" w:sz="4" w:space="0" w:color="auto"/>
            </w:tcBorders>
          </w:tcPr>
          <w:p w14:paraId="3CB28E7A" w14:textId="77777777" w:rsidR="00C25C7D" w:rsidRPr="008B4DA8" w:rsidRDefault="00336DE0"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2910B64A"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012DF1CE" w14:textId="77777777" w:rsidR="00C25C7D" w:rsidRPr="008B4DA8" w:rsidRDefault="00336DE0"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5AA212CC"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16B80756" w14:textId="77777777" w:rsidR="00C25C7D" w:rsidRPr="008B4DA8" w:rsidRDefault="00336DE0" w:rsidP="00360FB0">
            <w:pPr>
              <w:jc w:val="both"/>
              <w:rPr>
                <w:rFonts w:cs="Arial"/>
                <w:sz w:val="20"/>
              </w:rPr>
            </w:pPr>
            <w:r>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2CFE2A69" w14:textId="77777777" w:rsidR="00C25C7D" w:rsidRPr="008B4DA8" w:rsidRDefault="00C25C7D" w:rsidP="00360FB0">
            <w:pPr>
              <w:jc w:val="both"/>
              <w:rPr>
                <w:rFonts w:cs="Arial"/>
                <w:sz w:val="20"/>
              </w:rPr>
            </w:pPr>
          </w:p>
        </w:tc>
      </w:tr>
      <w:tr w:rsidR="00C25C7D" w:rsidRPr="008B4DA8" w14:paraId="39D1FDFC" w14:textId="77777777">
        <w:trPr>
          <w:trHeight w:val="98"/>
        </w:trPr>
        <w:tc>
          <w:tcPr>
            <w:tcW w:w="3227" w:type="dxa"/>
            <w:tcBorders>
              <w:top w:val="single" w:sz="4" w:space="0" w:color="auto"/>
              <w:left w:val="single" w:sz="4" w:space="0" w:color="auto"/>
              <w:bottom w:val="single" w:sz="4" w:space="0" w:color="auto"/>
              <w:right w:val="single" w:sz="4" w:space="0" w:color="auto"/>
            </w:tcBorders>
          </w:tcPr>
          <w:p w14:paraId="0071D9AA" w14:textId="77777777" w:rsidR="00C25C7D" w:rsidRPr="008B4DA8" w:rsidRDefault="00C25C7D" w:rsidP="00360FB0">
            <w:pPr>
              <w:jc w:val="both"/>
              <w:rPr>
                <w:rFonts w:cs="Arial"/>
                <w:sz w:val="20"/>
              </w:rPr>
            </w:pPr>
            <w:r w:rsidRPr="008B4DA8">
              <w:rPr>
                <w:rFonts w:cs="Arial"/>
                <w:sz w:val="20"/>
              </w:rPr>
              <w:t>Teamwork</w:t>
            </w:r>
          </w:p>
        </w:tc>
        <w:tc>
          <w:tcPr>
            <w:tcW w:w="1099" w:type="dxa"/>
            <w:gridSpan w:val="2"/>
            <w:tcBorders>
              <w:top w:val="single" w:sz="4" w:space="0" w:color="auto"/>
              <w:left w:val="single" w:sz="4" w:space="0" w:color="auto"/>
              <w:bottom w:val="single" w:sz="4" w:space="0" w:color="auto"/>
              <w:right w:val="single" w:sz="4" w:space="0" w:color="auto"/>
            </w:tcBorders>
          </w:tcPr>
          <w:p w14:paraId="2AB7FBB7"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6F4074B8"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16CAA900"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77C22150"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6D8502BB" w14:textId="77777777" w:rsidR="00C25C7D" w:rsidRPr="008B4DA8" w:rsidRDefault="00C25C7D" w:rsidP="00360FB0">
            <w:pPr>
              <w:jc w:val="both"/>
              <w:rPr>
                <w:rFonts w:cs="Arial"/>
                <w:sz w:val="20"/>
              </w:rPr>
            </w:pPr>
          </w:p>
        </w:tc>
        <w:tc>
          <w:tcPr>
            <w:tcW w:w="1111" w:type="dxa"/>
            <w:tcBorders>
              <w:top w:val="single" w:sz="4" w:space="0" w:color="auto"/>
              <w:left w:val="single" w:sz="4" w:space="0" w:color="auto"/>
              <w:bottom w:val="single" w:sz="4" w:space="0" w:color="auto"/>
              <w:right w:val="single" w:sz="4" w:space="0" w:color="auto"/>
            </w:tcBorders>
          </w:tcPr>
          <w:p w14:paraId="22C6A5C3" w14:textId="77777777" w:rsidR="00C25C7D" w:rsidRPr="008B4DA8" w:rsidRDefault="00C25C7D" w:rsidP="00360FB0">
            <w:pPr>
              <w:jc w:val="both"/>
              <w:rPr>
                <w:rFonts w:cs="Arial"/>
                <w:sz w:val="20"/>
              </w:rPr>
            </w:pPr>
          </w:p>
        </w:tc>
      </w:tr>
      <w:tr w:rsidR="00C25C7D" w:rsidRPr="008B4DA8" w14:paraId="78B08026" w14:textId="77777777">
        <w:trPr>
          <w:trHeight w:val="158"/>
        </w:trPr>
        <w:tc>
          <w:tcPr>
            <w:tcW w:w="3227" w:type="dxa"/>
            <w:tcBorders>
              <w:top w:val="single" w:sz="4" w:space="0" w:color="auto"/>
              <w:left w:val="single" w:sz="4" w:space="0" w:color="auto"/>
              <w:bottom w:val="single" w:sz="4" w:space="0" w:color="auto"/>
              <w:right w:val="single" w:sz="4" w:space="0" w:color="auto"/>
            </w:tcBorders>
          </w:tcPr>
          <w:p w14:paraId="480985B6" w14:textId="77777777" w:rsidR="00C25C7D" w:rsidRPr="008B4DA8" w:rsidRDefault="00C25C7D" w:rsidP="00360FB0">
            <w:pPr>
              <w:jc w:val="both"/>
              <w:rPr>
                <w:rFonts w:cs="Arial"/>
                <w:sz w:val="20"/>
              </w:rPr>
            </w:pPr>
            <w:r w:rsidRPr="008B4DA8">
              <w:rPr>
                <w:rFonts w:cs="Arial"/>
                <w:sz w:val="20"/>
              </w:rPr>
              <w:t>Organisation</w:t>
            </w:r>
          </w:p>
        </w:tc>
        <w:tc>
          <w:tcPr>
            <w:tcW w:w="1099" w:type="dxa"/>
            <w:gridSpan w:val="2"/>
            <w:tcBorders>
              <w:top w:val="single" w:sz="4" w:space="0" w:color="auto"/>
              <w:left w:val="single" w:sz="4" w:space="0" w:color="auto"/>
              <w:bottom w:val="single" w:sz="4" w:space="0" w:color="auto"/>
              <w:right w:val="single" w:sz="4" w:space="0" w:color="auto"/>
            </w:tcBorders>
          </w:tcPr>
          <w:p w14:paraId="305B76CD"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3FE96E97"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794461B5"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4F654833"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7B8FB8A5" w14:textId="77777777" w:rsidR="00C25C7D" w:rsidRPr="008B4DA8" w:rsidRDefault="00C25C7D" w:rsidP="00360FB0">
            <w:pPr>
              <w:jc w:val="both"/>
              <w:rPr>
                <w:rFonts w:cs="Arial"/>
                <w:sz w:val="20"/>
              </w:rPr>
            </w:pPr>
          </w:p>
        </w:tc>
        <w:tc>
          <w:tcPr>
            <w:tcW w:w="1111" w:type="dxa"/>
            <w:tcBorders>
              <w:top w:val="single" w:sz="4" w:space="0" w:color="auto"/>
              <w:left w:val="single" w:sz="4" w:space="0" w:color="auto"/>
              <w:bottom w:val="single" w:sz="4" w:space="0" w:color="auto"/>
              <w:right w:val="single" w:sz="4" w:space="0" w:color="auto"/>
            </w:tcBorders>
          </w:tcPr>
          <w:p w14:paraId="53AB9644" w14:textId="77777777" w:rsidR="00C25C7D" w:rsidRPr="008B4DA8" w:rsidRDefault="00C25C7D" w:rsidP="00360FB0">
            <w:pPr>
              <w:jc w:val="both"/>
              <w:rPr>
                <w:rFonts w:cs="Arial"/>
                <w:sz w:val="20"/>
              </w:rPr>
            </w:pPr>
            <w:r w:rsidRPr="008B4DA8">
              <w:rPr>
                <w:rFonts w:cs="Arial"/>
                <w:sz w:val="20"/>
              </w:rPr>
              <w:t>x</w:t>
            </w:r>
          </w:p>
        </w:tc>
      </w:tr>
      <w:tr w:rsidR="00C25C7D" w:rsidRPr="008B4DA8" w14:paraId="631DE2CB" w14:textId="77777777">
        <w:trPr>
          <w:trHeight w:val="90"/>
        </w:trPr>
        <w:tc>
          <w:tcPr>
            <w:tcW w:w="3227" w:type="dxa"/>
            <w:tcBorders>
              <w:top w:val="single" w:sz="4" w:space="0" w:color="auto"/>
              <w:left w:val="single" w:sz="4" w:space="0" w:color="auto"/>
              <w:bottom w:val="single" w:sz="4" w:space="0" w:color="auto"/>
              <w:right w:val="single" w:sz="4" w:space="0" w:color="auto"/>
            </w:tcBorders>
          </w:tcPr>
          <w:p w14:paraId="26311CA8" w14:textId="77777777" w:rsidR="00C25C7D" w:rsidRPr="008B4DA8" w:rsidRDefault="00C25C7D" w:rsidP="00360FB0">
            <w:pPr>
              <w:jc w:val="both"/>
              <w:rPr>
                <w:rFonts w:cs="Arial"/>
                <w:sz w:val="20"/>
              </w:rPr>
            </w:pPr>
            <w:r w:rsidRPr="008B4DA8">
              <w:rPr>
                <w:rFonts w:cs="Arial"/>
                <w:sz w:val="20"/>
              </w:rPr>
              <w:t>Producing an argument</w:t>
            </w:r>
          </w:p>
        </w:tc>
        <w:tc>
          <w:tcPr>
            <w:tcW w:w="1099" w:type="dxa"/>
            <w:gridSpan w:val="2"/>
            <w:tcBorders>
              <w:top w:val="single" w:sz="4" w:space="0" w:color="auto"/>
              <w:left w:val="single" w:sz="4" w:space="0" w:color="auto"/>
              <w:bottom w:val="single" w:sz="4" w:space="0" w:color="auto"/>
              <w:right w:val="single" w:sz="4" w:space="0" w:color="auto"/>
            </w:tcBorders>
          </w:tcPr>
          <w:p w14:paraId="45250D68"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39802759"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04724FA3"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3065CC93" w14:textId="77777777" w:rsidR="00C25C7D" w:rsidRPr="008B4DA8" w:rsidRDefault="00C25C7D" w:rsidP="00360FB0">
            <w:pPr>
              <w:jc w:val="both"/>
              <w:rPr>
                <w:rFonts w:cs="Arial"/>
                <w:sz w:val="20"/>
              </w:rPr>
            </w:pPr>
          </w:p>
        </w:tc>
        <w:tc>
          <w:tcPr>
            <w:tcW w:w="1031" w:type="dxa"/>
            <w:tcBorders>
              <w:top w:val="single" w:sz="4" w:space="0" w:color="auto"/>
              <w:left w:val="single" w:sz="4" w:space="0" w:color="auto"/>
              <w:bottom w:val="single" w:sz="4" w:space="0" w:color="auto"/>
              <w:right w:val="single" w:sz="4" w:space="0" w:color="auto"/>
            </w:tcBorders>
          </w:tcPr>
          <w:p w14:paraId="4C65EB42" w14:textId="77777777" w:rsidR="00C25C7D" w:rsidRPr="008B4DA8" w:rsidRDefault="00B31399" w:rsidP="00360FB0">
            <w:pPr>
              <w:jc w:val="both"/>
              <w:rPr>
                <w:rFonts w:cs="Arial"/>
                <w:sz w:val="20"/>
              </w:rPr>
            </w:pPr>
            <w:r>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7CFF243B" w14:textId="77777777" w:rsidR="00C25C7D" w:rsidRPr="008B4DA8" w:rsidRDefault="00C25C7D" w:rsidP="00360FB0">
            <w:pPr>
              <w:jc w:val="both"/>
              <w:rPr>
                <w:rFonts w:cs="Arial"/>
                <w:sz w:val="20"/>
              </w:rPr>
            </w:pPr>
            <w:r w:rsidRPr="008B4DA8">
              <w:rPr>
                <w:rFonts w:cs="Arial"/>
                <w:sz w:val="20"/>
              </w:rPr>
              <w:t>x</w:t>
            </w:r>
          </w:p>
        </w:tc>
      </w:tr>
      <w:tr w:rsidR="00C25C7D" w:rsidRPr="008B4DA8" w14:paraId="3B963EB7" w14:textId="77777777">
        <w:trPr>
          <w:trHeight w:val="149"/>
        </w:trPr>
        <w:tc>
          <w:tcPr>
            <w:tcW w:w="3227" w:type="dxa"/>
            <w:tcBorders>
              <w:top w:val="single" w:sz="4" w:space="0" w:color="auto"/>
              <w:left w:val="single" w:sz="4" w:space="0" w:color="auto"/>
              <w:bottom w:val="single" w:sz="4" w:space="0" w:color="auto"/>
              <w:right w:val="single" w:sz="4" w:space="0" w:color="auto"/>
            </w:tcBorders>
          </w:tcPr>
          <w:p w14:paraId="0C926D3A" w14:textId="77777777" w:rsidR="00C25C7D" w:rsidRPr="008B4DA8" w:rsidRDefault="00C25C7D" w:rsidP="00360FB0">
            <w:pPr>
              <w:jc w:val="both"/>
              <w:rPr>
                <w:rFonts w:cs="Arial"/>
                <w:sz w:val="20"/>
              </w:rPr>
            </w:pPr>
            <w:r w:rsidRPr="008B4DA8">
              <w:rPr>
                <w:rFonts w:cs="Arial"/>
                <w:sz w:val="20"/>
              </w:rPr>
              <w:t>Referencing</w:t>
            </w:r>
          </w:p>
        </w:tc>
        <w:tc>
          <w:tcPr>
            <w:tcW w:w="1099" w:type="dxa"/>
            <w:gridSpan w:val="2"/>
            <w:tcBorders>
              <w:top w:val="single" w:sz="4" w:space="0" w:color="auto"/>
              <w:left w:val="single" w:sz="4" w:space="0" w:color="auto"/>
              <w:bottom w:val="single" w:sz="4" w:space="0" w:color="auto"/>
              <w:right w:val="single" w:sz="4" w:space="0" w:color="auto"/>
            </w:tcBorders>
          </w:tcPr>
          <w:p w14:paraId="6874F7A0"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6A4C9FBF"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18994E70"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4C62CF51" w14:textId="77777777" w:rsidR="00C25C7D" w:rsidRPr="008B4DA8" w:rsidRDefault="00C25C7D" w:rsidP="00360FB0">
            <w:pPr>
              <w:jc w:val="both"/>
              <w:rPr>
                <w:rFonts w:cs="Arial"/>
                <w:sz w:val="20"/>
              </w:rPr>
            </w:pPr>
            <w:r w:rsidRPr="008B4DA8">
              <w:rPr>
                <w:rFonts w:cs="Arial"/>
                <w:sz w:val="20"/>
              </w:rPr>
              <w:t>x</w:t>
            </w:r>
          </w:p>
        </w:tc>
        <w:tc>
          <w:tcPr>
            <w:tcW w:w="1031" w:type="dxa"/>
            <w:tcBorders>
              <w:top w:val="single" w:sz="4" w:space="0" w:color="auto"/>
              <w:left w:val="single" w:sz="4" w:space="0" w:color="auto"/>
              <w:bottom w:val="single" w:sz="4" w:space="0" w:color="auto"/>
              <w:right w:val="single" w:sz="4" w:space="0" w:color="auto"/>
            </w:tcBorders>
          </w:tcPr>
          <w:p w14:paraId="05B82BD9" w14:textId="77777777" w:rsidR="00C25C7D" w:rsidRPr="008B4DA8" w:rsidRDefault="00C25C7D" w:rsidP="00360FB0">
            <w:pPr>
              <w:jc w:val="both"/>
              <w:rPr>
                <w:rFonts w:cs="Arial"/>
                <w:sz w:val="20"/>
              </w:rPr>
            </w:pPr>
            <w:r w:rsidRPr="008B4DA8">
              <w:rPr>
                <w:rFonts w:cs="Arial"/>
                <w:sz w:val="20"/>
              </w:rPr>
              <w:t>x</w:t>
            </w:r>
          </w:p>
        </w:tc>
        <w:tc>
          <w:tcPr>
            <w:tcW w:w="1111" w:type="dxa"/>
            <w:tcBorders>
              <w:top w:val="single" w:sz="4" w:space="0" w:color="auto"/>
              <w:left w:val="single" w:sz="4" w:space="0" w:color="auto"/>
              <w:bottom w:val="single" w:sz="4" w:space="0" w:color="auto"/>
              <w:right w:val="single" w:sz="4" w:space="0" w:color="auto"/>
            </w:tcBorders>
          </w:tcPr>
          <w:p w14:paraId="0576DA02" w14:textId="77777777" w:rsidR="00C25C7D" w:rsidRPr="008B4DA8" w:rsidRDefault="00C25C7D" w:rsidP="00360FB0">
            <w:pPr>
              <w:jc w:val="both"/>
              <w:rPr>
                <w:rFonts w:cs="Arial"/>
                <w:sz w:val="20"/>
              </w:rPr>
            </w:pPr>
            <w:r w:rsidRPr="008B4DA8">
              <w:rPr>
                <w:rFonts w:cs="Arial"/>
                <w:sz w:val="20"/>
              </w:rPr>
              <w:t>x</w:t>
            </w:r>
          </w:p>
        </w:tc>
      </w:tr>
      <w:tr w:rsidR="00C25C7D" w:rsidRPr="008B4DA8" w14:paraId="468A1F5D" w14:textId="77777777">
        <w:trPr>
          <w:trHeight w:val="82"/>
        </w:trPr>
        <w:tc>
          <w:tcPr>
            <w:tcW w:w="3227" w:type="dxa"/>
            <w:tcBorders>
              <w:top w:val="single" w:sz="4" w:space="0" w:color="auto"/>
              <w:left w:val="single" w:sz="4" w:space="0" w:color="auto"/>
              <w:bottom w:val="single" w:sz="4" w:space="0" w:color="auto"/>
              <w:right w:val="single" w:sz="4" w:space="0" w:color="auto"/>
            </w:tcBorders>
          </w:tcPr>
          <w:p w14:paraId="0DF0D0F8" w14:textId="77777777" w:rsidR="00C25C7D" w:rsidRPr="008B4DA8" w:rsidRDefault="00C25C7D" w:rsidP="00360FB0">
            <w:pPr>
              <w:jc w:val="both"/>
              <w:rPr>
                <w:rFonts w:cs="Arial"/>
                <w:sz w:val="20"/>
              </w:rPr>
            </w:pPr>
            <w:r w:rsidRPr="008B4DA8">
              <w:rPr>
                <w:rFonts w:cs="Arial"/>
                <w:sz w:val="20"/>
              </w:rPr>
              <w:t>Information literacy</w:t>
            </w:r>
          </w:p>
        </w:tc>
        <w:tc>
          <w:tcPr>
            <w:tcW w:w="1099" w:type="dxa"/>
            <w:gridSpan w:val="2"/>
            <w:tcBorders>
              <w:top w:val="single" w:sz="4" w:space="0" w:color="auto"/>
              <w:left w:val="single" w:sz="4" w:space="0" w:color="auto"/>
              <w:bottom w:val="single" w:sz="4" w:space="0" w:color="auto"/>
              <w:right w:val="single" w:sz="4" w:space="0" w:color="auto"/>
            </w:tcBorders>
          </w:tcPr>
          <w:p w14:paraId="6A8D6F71"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4EF9287A"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4792B5C6"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62544485" w14:textId="77777777" w:rsidR="00C25C7D" w:rsidRPr="008B4DA8" w:rsidRDefault="00C25C7D" w:rsidP="00360FB0">
            <w:pPr>
              <w:jc w:val="both"/>
              <w:rPr>
                <w:rFonts w:cs="Arial"/>
                <w:sz w:val="20"/>
              </w:rPr>
            </w:pPr>
          </w:p>
        </w:tc>
        <w:tc>
          <w:tcPr>
            <w:tcW w:w="1031" w:type="dxa"/>
            <w:tcBorders>
              <w:top w:val="single" w:sz="4" w:space="0" w:color="auto"/>
              <w:left w:val="single" w:sz="4" w:space="0" w:color="auto"/>
              <w:bottom w:val="single" w:sz="4" w:space="0" w:color="auto"/>
              <w:right w:val="single" w:sz="4" w:space="0" w:color="auto"/>
            </w:tcBorders>
          </w:tcPr>
          <w:p w14:paraId="55D5891E" w14:textId="77777777" w:rsidR="00C25C7D" w:rsidRPr="008B4DA8" w:rsidRDefault="00C25C7D" w:rsidP="00360FB0">
            <w:pPr>
              <w:jc w:val="both"/>
              <w:rPr>
                <w:rFonts w:cs="Arial"/>
                <w:sz w:val="20"/>
              </w:rPr>
            </w:pPr>
          </w:p>
        </w:tc>
        <w:tc>
          <w:tcPr>
            <w:tcW w:w="1111" w:type="dxa"/>
            <w:tcBorders>
              <w:top w:val="single" w:sz="4" w:space="0" w:color="auto"/>
              <w:left w:val="single" w:sz="4" w:space="0" w:color="auto"/>
              <w:bottom w:val="single" w:sz="4" w:space="0" w:color="auto"/>
              <w:right w:val="single" w:sz="4" w:space="0" w:color="auto"/>
            </w:tcBorders>
          </w:tcPr>
          <w:p w14:paraId="7BFA25D4" w14:textId="77777777" w:rsidR="00C25C7D" w:rsidRPr="008B4DA8" w:rsidRDefault="00C25C7D" w:rsidP="00360FB0">
            <w:pPr>
              <w:jc w:val="both"/>
              <w:rPr>
                <w:rFonts w:cs="Arial"/>
                <w:sz w:val="20"/>
              </w:rPr>
            </w:pPr>
            <w:r w:rsidRPr="008B4DA8">
              <w:rPr>
                <w:rFonts w:cs="Arial"/>
                <w:sz w:val="20"/>
              </w:rPr>
              <w:t>x</w:t>
            </w:r>
          </w:p>
        </w:tc>
      </w:tr>
      <w:tr w:rsidR="00C25C7D" w:rsidRPr="008B4DA8" w14:paraId="238CD6BA" w14:textId="77777777">
        <w:trPr>
          <w:trHeight w:val="141"/>
        </w:trPr>
        <w:tc>
          <w:tcPr>
            <w:tcW w:w="3227" w:type="dxa"/>
            <w:tcBorders>
              <w:top w:val="single" w:sz="4" w:space="0" w:color="auto"/>
              <w:left w:val="single" w:sz="4" w:space="0" w:color="auto"/>
              <w:bottom w:val="single" w:sz="4" w:space="0" w:color="auto"/>
              <w:right w:val="single" w:sz="4" w:space="0" w:color="auto"/>
            </w:tcBorders>
          </w:tcPr>
          <w:p w14:paraId="3BE21B9C" w14:textId="77777777" w:rsidR="00C25C7D" w:rsidRPr="008B4DA8" w:rsidRDefault="00C25C7D" w:rsidP="00360FB0">
            <w:pPr>
              <w:jc w:val="both"/>
              <w:rPr>
                <w:rFonts w:cs="Arial"/>
                <w:sz w:val="20"/>
              </w:rPr>
            </w:pPr>
            <w:r w:rsidRPr="008B4DA8">
              <w:rPr>
                <w:rFonts w:cs="Arial"/>
                <w:sz w:val="20"/>
              </w:rPr>
              <w:t>Computer literacy</w:t>
            </w:r>
          </w:p>
        </w:tc>
        <w:tc>
          <w:tcPr>
            <w:tcW w:w="1099" w:type="dxa"/>
            <w:gridSpan w:val="2"/>
            <w:tcBorders>
              <w:top w:val="single" w:sz="4" w:space="0" w:color="auto"/>
              <w:left w:val="single" w:sz="4" w:space="0" w:color="auto"/>
              <w:bottom w:val="single" w:sz="4" w:space="0" w:color="auto"/>
              <w:right w:val="single" w:sz="4" w:space="0" w:color="auto"/>
            </w:tcBorders>
          </w:tcPr>
          <w:p w14:paraId="6C4A0DEE" w14:textId="77777777" w:rsidR="00C25C7D" w:rsidRPr="008B4DA8" w:rsidRDefault="00C25C7D" w:rsidP="00360FB0">
            <w:pPr>
              <w:jc w:val="both"/>
              <w:rPr>
                <w:rFonts w:cs="Arial"/>
                <w:sz w:val="20"/>
              </w:rPr>
            </w:pPr>
          </w:p>
        </w:tc>
        <w:tc>
          <w:tcPr>
            <w:tcW w:w="1004" w:type="dxa"/>
            <w:tcBorders>
              <w:top w:val="single" w:sz="4" w:space="0" w:color="auto"/>
              <w:left w:val="single" w:sz="4" w:space="0" w:color="auto"/>
              <w:bottom w:val="single" w:sz="4" w:space="0" w:color="auto"/>
              <w:right w:val="single" w:sz="4" w:space="0" w:color="auto"/>
            </w:tcBorders>
          </w:tcPr>
          <w:p w14:paraId="700550A1" w14:textId="77777777" w:rsidR="00C25C7D" w:rsidRPr="008B4DA8" w:rsidRDefault="00C25C7D" w:rsidP="00360FB0">
            <w:pPr>
              <w:jc w:val="both"/>
              <w:rPr>
                <w:rFonts w:cs="Arial"/>
                <w:sz w:val="20"/>
              </w:rPr>
            </w:pPr>
            <w:r w:rsidRPr="008B4DA8">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16F3235B" w14:textId="77777777" w:rsidR="00C25C7D" w:rsidRPr="008B4DA8" w:rsidRDefault="00B31399" w:rsidP="00360FB0">
            <w:pPr>
              <w:jc w:val="both"/>
              <w:rPr>
                <w:rFonts w:cs="Arial"/>
                <w:sz w:val="20"/>
              </w:rPr>
            </w:pPr>
            <w:r>
              <w:rPr>
                <w:rFonts w:cs="Arial"/>
                <w:sz w:val="20"/>
              </w:rPr>
              <w:t>x</w:t>
            </w:r>
          </w:p>
        </w:tc>
        <w:tc>
          <w:tcPr>
            <w:tcW w:w="1004" w:type="dxa"/>
            <w:tcBorders>
              <w:top w:val="single" w:sz="4" w:space="0" w:color="auto"/>
              <w:left w:val="single" w:sz="4" w:space="0" w:color="auto"/>
              <w:bottom w:val="single" w:sz="4" w:space="0" w:color="auto"/>
              <w:right w:val="single" w:sz="4" w:space="0" w:color="auto"/>
            </w:tcBorders>
          </w:tcPr>
          <w:p w14:paraId="08A01F12" w14:textId="77777777" w:rsidR="00C25C7D" w:rsidRPr="008B4DA8" w:rsidRDefault="00C25C7D" w:rsidP="00360FB0">
            <w:pPr>
              <w:jc w:val="both"/>
              <w:rPr>
                <w:rFonts w:cs="Arial"/>
                <w:sz w:val="20"/>
              </w:rPr>
            </w:pPr>
          </w:p>
        </w:tc>
        <w:tc>
          <w:tcPr>
            <w:tcW w:w="1031" w:type="dxa"/>
            <w:tcBorders>
              <w:top w:val="single" w:sz="4" w:space="0" w:color="auto"/>
              <w:left w:val="single" w:sz="4" w:space="0" w:color="auto"/>
              <w:bottom w:val="single" w:sz="4" w:space="0" w:color="auto"/>
              <w:right w:val="single" w:sz="4" w:space="0" w:color="auto"/>
            </w:tcBorders>
          </w:tcPr>
          <w:p w14:paraId="01D4B42F" w14:textId="77777777" w:rsidR="00C25C7D" w:rsidRPr="008B4DA8" w:rsidRDefault="00C25C7D" w:rsidP="00360FB0">
            <w:pPr>
              <w:jc w:val="both"/>
              <w:rPr>
                <w:rFonts w:cs="Arial"/>
                <w:sz w:val="20"/>
              </w:rPr>
            </w:pPr>
          </w:p>
        </w:tc>
        <w:tc>
          <w:tcPr>
            <w:tcW w:w="1111" w:type="dxa"/>
            <w:tcBorders>
              <w:top w:val="single" w:sz="4" w:space="0" w:color="auto"/>
              <w:left w:val="single" w:sz="4" w:space="0" w:color="auto"/>
              <w:bottom w:val="single" w:sz="4" w:space="0" w:color="auto"/>
              <w:right w:val="single" w:sz="4" w:space="0" w:color="auto"/>
            </w:tcBorders>
          </w:tcPr>
          <w:p w14:paraId="58111CDB" w14:textId="77777777" w:rsidR="00C25C7D" w:rsidRPr="008B4DA8" w:rsidRDefault="00C25C7D" w:rsidP="00360FB0">
            <w:pPr>
              <w:jc w:val="both"/>
              <w:rPr>
                <w:rFonts w:cs="Arial"/>
                <w:sz w:val="20"/>
              </w:rPr>
            </w:pPr>
            <w:r w:rsidRPr="008B4DA8">
              <w:rPr>
                <w:rFonts w:cs="Arial"/>
                <w:sz w:val="20"/>
              </w:rPr>
              <w:t>x</w:t>
            </w:r>
          </w:p>
        </w:tc>
      </w:tr>
    </w:tbl>
    <w:p w14:paraId="6D166DE4" w14:textId="77777777" w:rsidR="00C25C7D" w:rsidRDefault="00C25C7D" w:rsidP="00360FB0">
      <w:pPr>
        <w:jc w:val="both"/>
        <w:rPr>
          <w:sz w:val="20"/>
        </w:rPr>
      </w:pPr>
    </w:p>
    <w:p w14:paraId="1082B93E" w14:textId="77777777" w:rsidR="00C25C7D" w:rsidRPr="00EA481B" w:rsidRDefault="00C25C7D" w:rsidP="00360FB0">
      <w:pPr>
        <w:jc w:val="both"/>
        <w:rPr>
          <w:rFonts w:cs="Arial"/>
          <w:b/>
          <w:sz w:val="20"/>
        </w:rPr>
      </w:pPr>
      <w:r w:rsidRPr="00EA481B">
        <w:rPr>
          <w:rFonts w:cs="Arial"/>
          <w:b/>
          <w:sz w:val="20"/>
        </w:rPr>
        <w:t xml:space="preserve">Ethics </w:t>
      </w:r>
    </w:p>
    <w:p w14:paraId="02094B48" w14:textId="09E2B210" w:rsidR="00C25C7D" w:rsidRDefault="00C25C7D" w:rsidP="00360FB0">
      <w:pPr>
        <w:jc w:val="both"/>
        <w:rPr>
          <w:rFonts w:cs="Arial"/>
          <w:sz w:val="20"/>
        </w:rPr>
      </w:pPr>
      <w:r w:rsidRPr="007B3009">
        <w:rPr>
          <w:rFonts w:cs="Arial"/>
          <w:sz w:val="20"/>
        </w:rPr>
        <w:t xml:space="preserve">All assignments/ research projects undertaken by students of the SEPD which involve primary research with people are subject to rigorous checks regarding the possible ethical dimensions  of the work. A checklist is available which requires students to carefully consider how their planned work addresses key ethical issues. Following completion of the checklist students are then required, as part of the formative element of their work, to complete a standard proforma which briefly outlines the proposed focus and methods of research. This records ethical considerations at the planning stage and explains how these are to be addressed. It is important to note that this proforma is discussed and agreed before any research takes place and students are clear that research which differs in any way from the agreed plan is unacceptable and will result in failure of the module. The form is signed by the module tutor and agreed with another tutor from SEPD.  There is a mechanism for further consideration, by a virtual ethics panel, of any proposal which two tutors still have concerns over. When agreement is reached regarding the proposed piece the student must record on information and consent forms that the process has been approved by SEPD, University of Huddersfield. All printed information given to respondents will display appropriate tutor contact details. </w:t>
      </w:r>
    </w:p>
    <w:p w14:paraId="58D5B8CC" w14:textId="77777777" w:rsidR="00B3381F" w:rsidRPr="007B3009" w:rsidRDefault="00B3381F" w:rsidP="00360FB0">
      <w:pPr>
        <w:jc w:val="both"/>
        <w:rPr>
          <w:rFonts w:cs="Arial"/>
          <w:sz w:val="20"/>
        </w:rPr>
      </w:pPr>
    </w:p>
    <w:p w14:paraId="3999AEC5" w14:textId="77777777" w:rsidR="00C25C7D" w:rsidRPr="008B4DA8" w:rsidRDefault="00C25C7D" w:rsidP="00360FB0">
      <w:pPr>
        <w:jc w:val="both"/>
        <w:rPr>
          <w:sz w:val="20"/>
        </w:rPr>
      </w:pPr>
    </w:p>
    <w:p w14:paraId="57D29C73" w14:textId="77777777" w:rsidR="00C25C7D" w:rsidRPr="00B3381F" w:rsidRDefault="00C25C7D" w:rsidP="00B3381F">
      <w:pPr>
        <w:pStyle w:val="Heading1"/>
      </w:pPr>
      <w:r w:rsidRPr="00B3381F">
        <w:t>SUPPORT FOR STUDENTS AND THEIR LEARNING</w:t>
      </w:r>
    </w:p>
    <w:p w14:paraId="3E8C9B48" w14:textId="77777777" w:rsidR="00B3381F" w:rsidRDefault="00B3381F" w:rsidP="00360FB0">
      <w:pPr>
        <w:jc w:val="both"/>
        <w:rPr>
          <w:rFonts w:cs="Arial"/>
          <w:sz w:val="20"/>
        </w:rPr>
      </w:pPr>
    </w:p>
    <w:p w14:paraId="45C8D34D" w14:textId="1A1F51AA" w:rsidR="00C25C7D" w:rsidRPr="008B4DA8" w:rsidRDefault="00C25C7D" w:rsidP="00360FB0">
      <w:pPr>
        <w:jc w:val="both"/>
        <w:rPr>
          <w:rFonts w:cs="Arial"/>
          <w:sz w:val="20"/>
        </w:rPr>
      </w:pPr>
      <w:r w:rsidRPr="008B4DA8">
        <w:rPr>
          <w:rFonts w:cs="Arial"/>
          <w:sz w:val="20"/>
        </w:rPr>
        <w:t>The principal features of the support for students are as follows:</w:t>
      </w:r>
    </w:p>
    <w:p w14:paraId="445EFD8D" w14:textId="77777777" w:rsidR="00C25C7D" w:rsidRPr="008B4DA8" w:rsidRDefault="00C25C7D" w:rsidP="00360FB0">
      <w:pPr>
        <w:jc w:val="both"/>
        <w:rPr>
          <w:rFonts w:cs="Arial"/>
          <w:sz w:val="20"/>
        </w:rPr>
      </w:pPr>
    </w:p>
    <w:p w14:paraId="0B31D621"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 xml:space="preserve">The course begins with </w:t>
      </w:r>
      <w:r w:rsidR="00B31399">
        <w:rPr>
          <w:rFonts w:cs="Arial"/>
          <w:sz w:val="20"/>
        </w:rPr>
        <w:t>an</w:t>
      </w:r>
      <w:r w:rsidRPr="008B4DA8">
        <w:rPr>
          <w:rFonts w:cs="Arial"/>
          <w:sz w:val="20"/>
        </w:rPr>
        <w:t xml:space="preserve"> induction programme. In particular this will include an overview of the course; an introduction to study skills, and an introduction to academic writing skills and expectations regarding academic conduct; an introduction to the University’s VLE and a guide to </w:t>
      </w:r>
      <w:r w:rsidRPr="008B4DA8">
        <w:rPr>
          <w:rFonts w:cs="Arial"/>
          <w:sz w:val="20"/>
        </w:rPr>
        <w:lastRenderedPageBreak/>
        <w:t xml:space="preserve">Computing and Library services; an introduction to </w:t>
      </w:r>
      <w:r w:rsidR="00085DB7">
        <w:rPr>
          <w:rFonts w:cs="Arial"/>
          <w:sz w:val="20"/>
        </w:rPr>
        <w:t>Student Central</w:t>
      </w:r>
      <w:r w:rsidRPr="008B4DA8">
        <w:rPr>
          <w:rFonts w:cs="Arial"/>
          <w:sz w:val="20"/>
        </w:rPr>
        <w:t xml:space="preserve">; </w:t>
      </w:r>
      <w:r w:rsidR="00085DB7">
        <w:rPr>
          <w:rFonts w:cs="Arial"/>
          <w:sz w:val="20"/>
        </w:rPr>
        <w:t>it also includes</w:t>
      </w:r>
      <w:r w:rsidRPr="008B4DA8">
        <w:rPr>
          <w:rFonts w:cs="Arial"/>
          <w:sz w:val="20"/>
        </w:rPr>
        <w:t xml:space="preserve"> an explanation of the Personal Development Planning process [see below].</w:t>
      </w:r>
    </w:p>
    <w:p w14:paraId="11F0638B" w14:textId="77777777" w:rsidR="00C25C7D" w:rsidRPr="008B4DA8" w:rsidRDefault="00C25C7D" w:rsidP="00360FB0">
      <w:pPr>
        <w:jc w:val="both"/>
        <w:rPr>
          <w:rFonts w:cs="Arial"/>
          <w:sz w:val="20"/>
        </w:rPr>
      </w:pPr>
    </w:p>
    <w:p w14:paraId="4E277DC6"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At the beginning of the course, students will be allocated a Personal Tutor who will offer pastoral support, academic counselling and guidance, maintain an overview of academic progress, maintain an overview of problems which may lead to a claim for extenuating circumstances, coordinate the preparation of references, and refer the student to other University support mechanisms as appropriate.</w:t>
      </w:r>
    </w:p>
    <w:p w14:paraId="5C10EA32" w14:textId="77777777" w:rsidR="00C25C7D" w:rsidRPr="008B4DA8" w:rsidRDefault="00C25C7D" w:rsidP="00360FB0">
      <w:pPr>
        <w:jc w:val="both"/>
        <w:rPr>
          <w:rFonts w:cs="Arial"/>
          <w:sz w:val="20"/>
        </w:rPr>
      </w:pPr>
    </w:p>
    <w:p w14:paraId="0FF57521"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 xml:space="preserve">Students </w:t>
      </w:r>
      <w:r w:rsidR="00085DB7">
        <w:rPr>
          <w:rFonts w:cs="Arial"/>
          <w:sz w:val="20"/>
        </w:rPr>
        <w:t xml:space="preserve">are introduced to the Virtual Guide and </w:t>
      </w:r>
      <w:r w:rsidRPr="008B4DA8">
        <w:rPr>
          <w:rFonts w:cs="Arial"/>
          <w:sz w:val="20"/>
        </w:rPr>
        <w:t xml:space="preserve">will be provided with a Student Handbook which contains, inter alia, information on university facilities, course organization, assessment regulations, and advice on the presentation of assignments. </w:t>
      </w:r>
    </w:p>
    <w:p w14:paraId="569B3B38" w14:textId="77777777" w:rsidR="00C25C7D" w:rsidRPr="008B4DA8" w:rsidRDefault="00C25C7D" w:rsidP="00360FB0">
      <w:pPr>
        <w:jc w:val="both"/>
        <w:rPr>
          <w:rFonts w:cs="Arial"/>
          <w:sz w:val="20"/>
        </w:rPr>
      </w:pPr>
    </w:p>
    <w:p w14:paraId="1C3BB115"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Students will be provided with a Fieldwork Handbook which includes information about their fieldwork placement arrangements together with the relevant proformas such as the Fieldwork Supervisor’s Report</w:t>
      </w:r>
      <w:r w:rsidR="00B31399">
        <w:rPr>
          <w:rFonts w:cs="Arial"/>
          <w:sz w:val="20"/>
        </w:rPr>
        <w:t>.</w:t>
      </w:r>
    </w:p>
    <w:p w14:paraId="39052F06" w14:textId="77777777" w:rsidR="00C25C7D" w:rsidRPr="008B4DA8" w:rsidRDefault="00C25C7D" w:rsidP="00360FB0">
      <w:pPr>
        <w:jc w:val="both"/>
        <w:rPr>
          <w:rFonts w:cs="Arial"/>
          <w:sz w:val="20"/>
        </w:rPr>
      </w:pPr>
    </w:p>
    <w:p w14:paraId="16E9BC18"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Throughout the course students will have access to face-to-face, telephone and email tutorial support from both module tutors and personal tutors.</w:t>
      </w:r>
    </w:p>
    <w:p w14:paraId="1FE1A010" w14:textId="77777777" w:rsidR="00C25C7D" w:rsidRPr="008B4DA8" w:rsidRDefault="00C25C7D" w:rsidP="00360FB0">
      <w:pPr>
        <w:jc w:val="both"/>
        <w:rPr>
          <w:rFonts w:cs="Arial"/>
          <w:sz w:val="20"/>
        </w:rPr>
      </w:pPr>
    </w:p>
    <w:p w14:paraId="2DC65A42"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 xml:space="preserve">The Academic Skills Tutor within the School of Education and Professional Development will be available to provide academic support in a range of contexts including: support for dyslexic students; support for mature students who are returning to study; learning issues specific to </w:t>
      </w:r>
      <w:r w:rsidR="00B31399">
        <w:rPr>
          <w:rFonts w:cs="Arial"/>
          <w:sz w:val="20"/>
        </w:rPr>
        <w:t>international</w:t>
      </w:r>
      <w:r w:rsidR="00B31399" w:rsidRPr="008B4DA8">
        <w:rPr>
          <w:rFonts w:cs="Arial"/>
          <w:sz w:val="20"/>
        </w:rPr>
        <w:t xml:space="preserve"> </w:t>
      </w:r>
      <w:r w:rsidRPr="008B4DA8">
        <w:rPr>
          <w:rFonts w:cs="Arial"/>
          <w:sz w:val="20"/>
        </w:rPr>
        <w:t>students; tutorials for all students covering generic academic skills; and academic writing skills workshops.</w:t>
      </w:r>
    </w:p>
    <w:p w14:paraId="2D8164A7" w14:textId="77777777" w:rsidR="00C25C7D" w:rsidRPr="008B4DA8" w:rsidRDefault="00C25C7D" w:rsidP="00360FB0">
      <w:pPr>
        <w:jc w:val="both"/>
        <w:rPr>
          <w:rFonts w:cs="Arial"/>
          <w:sz w:val="20"/>
        </w:rPr>
      </w:pPr>
    </w:p>
    <w:p w14:paraId="57FF29DE"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 xml:space="preserve">During the course students will be able to access advice from module tutors on correct forms of referencing using the </w:t>
      </w:r>
      <w:r w:rsidR="00F57AD6">
        <w:rPr>
          <w:rFonts w:cs="Arial"/>
          <w:sz w:val="20"/>
        </w:rPr>
        <w:t>University’s approved referencing system</w:t>
      </w:r>
      <w:r w:rsidRPr="008B4DA8">
        <w:rPr>
          <w:rFonts w:cs="Arial"/>
          <w:sz w:val="20"/>
        </w:rPr>
        <w:t>.</w:t>
      </w:r>
    </w:p>
    <w:p w14:paraId="72F60343" w14:textId="77777777" w:rsidR="00C25C7D" w:rsidRPr="008B4DA8" w:rsidRDefault="00C25C7D" w:rsidP="00360FB0">
      <w:pPr>
        <w:jc w:val="both"/>
        <w:rPr>
          <w:rFonts w:cs="Arial"/>
          <w:sz w:val="20"/>
        </w:rPr>
      </w:pPr>
    </w:p>
    <w:p w14:paraId="62E80478"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 xml:space="preserve">Students will have access to the provision of the Directorate of Student Services, which includes the Careers </w:t>
      </w:r>
      <w:r w:rsidR="00B31399">
        <w:rPr>
          <w:rFonts w:cs="Arial"/>
          <w:sz w:val="20"/>
        </w:rPr>
        <w:t>and Employability</w:t>
      </w:r>
      <w:r w:rsidR="00B31399" w:rsidRPr="008B4DA8">
        <w:rPr>
          <w:rFonts w:cs="Arial"/>
          <w:sz w:val="20"/>
        </w:rPr>
        <w:t xml:space="preserve"> </w:t>
      </w:r>
      <w:r w:rsidRPr="008B4DA8">
        <w:rPr>
          <w:rFonts w:cs="Arial"/>
          <w:sz w:val="20"/>
        </w:rPr>
        <w:t xml:space="preserve">Service, the Faith Centre, the </w:t>
      </w:r>
      <w:r w:rsidR="00A833AC">
        <w:rPr>
          <w:rFonts w:cs="Arial"/>
          <w:sz w:val="20"/>
        </w:rPr>
        <w:t>Wellbeing and Student Support</w:t>
      </w:r>
      <w:r w:rsidRPr="008B4DA8">
        <w:rPr>
          <w:rFonts w:cs="Arial"/>
          <w:sz w:val="20"/>
        </w:rPr>
        <w:t xml:space="preserve"> Service.</w:t>
      </w:r>
    </w:p>
    <w:p w14:paraId="7A00556B" w14:textId="77777777" w:rsidR="00C25C7D" w:rsidRPr="008B4DA8" w:rsidRDefault="00C25C7D" w:rsidP="00360FB0">
      <w:pPr>
        <w:jc w:val="both"/>
        <w:rPr>
          <w:rFonts w:cs="Arial"/>
          <w:sz w:val="20"/>
        </w:rPr>
      </w:pPr>
    </w:p>
    <w:p w14:paraId="79D9E44D" w14:textId="77777777" w:rsidR="00C25C7D" w:rsidRPr="008B4DA8" w:rsidRDefault="00C25C7D" w:rsidP="00BC6421">
      <w:pPr>
        <w:numPr>
          <w:ilvl w:val="0"/>
          <w:numId w:val="9"/>
        </w:numPr>
        <w:tabs>
          <w:tab w:val="clear" w:pos="720"/>
          <w:tab w:val="num" w:pos="360"/>
        </w:tabs>
        <w:ind w:left="360"/>
        <w:jc w:val="both"/>
        <w:rPr>
          <w:rFonts w:cs="Arial"/>
          <w:sz w:val="20"/>
        </w:rPr>
      </w:pPr>
      <w:r w:rsidRPr="008B4DA8">
        <w:rPr>
          <w:rFonts w:cs="Arial"/>
          <w:sz w:val="20"/>
        </w:rPr>
        <w:t>All the modules incorporate formative assessment enabling students to receive interim feedback on the quality of their work prior to the formal submission.</w:t>
      </w:r>
    </w:p>
    <w:p w14:paraId="371856AF" w14:textId="77777777" w:rsidR="00C25C7D" w:rsidRPr="008B4DA8" w:rsidRDefault="00C25C7D" w:rsidP="00360FB0">
      <w:pPr>
        <w:jc w:val="both"/>
        <w:rPr>
          <w:rFonts w:cs="Arial"/>
          <w:sz w:val="20"/>
        </w:rPr>
      </w:pPr>
    </w:p>
    <w:p w14:paraId="3BC24307" w14:textId="77777777" w:rsidR="00C25C7D" w:rsidRDefault="00C25C7D" w:rsidP="00BC6421">
      <w:pPr>
        <w:numPr>
          <w:ilvl w:val="0"/>
          <w:numId w:val="9"/>
        </w:numPr>
        <w:tabs>
          <w:tab w:val="clear" w:pos="720"/>
          <w:tab w:val="num" w:pos="360"/>
        </w:tabs>
        <w:ind w:left="360"/>
        <w:jc w:val="both"/>
        <w:rPr>
          <w:rFonts w:cs="Arial"/>
          <w:sz w:val="20"/>
        </w:rPr>
      </w:pPr>
      <w:r w:rsidRPr="008B4DA8">
        <w:rPr>
          <w:rFonts w:cs="Arial"/>
          <w:sz w:val="20"/>
        </w:rPr>
        <w:t>Module tutors provide academic advice and support to students on issues relating to the modules which they teach.</w:t>
      </w:r>
    </w:p>
    <w:p w14:paraId="26923A03" w14:textId="77777777" w:rsidR="00360FB0" w:rsidRDefault="00360FB0" w:rsidP="00360FB0">
      <w:pPr>
        <w:jc w:val="both"/>
        <w:rPr>
          <w:rFonts w:cs="Arial"/>
          <w:sz w:val="20"/>
        </w:rPr>
      </w:pPr>
    </w:p>
    <w:p w14:paraId="52C85018" w14:textId="77777777" w:rsidR="00C25C7D" w:rsidRPr="008B4DA8" w:rsidRDefault="00C25C7D" w:rsidP="00360FB0">
      <w:pPr>
        <w:jc w:val="both"/>
        <w:rPr>
          <w:sz w:val="20"/>
        </w:rPr>
      </w:pPr>
      <w:r w:rsidRPr="008B4DA8">
        <w:rPr>
          <w:sz w:val="20"/>
        </w:rPr>
        <w:t>Personal Development Plans (PDPs) have been used on the course since 2005 and provide students with a means of measuring their personal and professional development during their period of study. During Induction, students are allocated to Personal Development Groups (PDGs). PDGs meet with the allocated Personal Tutor on a regular basis and focus on tasks of direct relevance to personal and professional development. The fieldwork modules</w:t>
      </w:r>
      <w:r w:rsidR="0044406A">
        <w:rPr>
          <w:sz w:val="20"/>
        </w:rPr>
        <w:t xml:space="preserve"> all</w:t>
      </w:r>
      <w:r w:rsidR="00360FB0">
        <w:rPr>
          <w:sz w:val="20"/>
        </w:rPr>
        <w:t xml:space="preserve"> </w:t>
      </w:r>
      <w:r w:rsidRPr="008B4DA8">
        <w:rPr>
          <w:sz w:val="20"/>
        </w:rPr>
        <w:t>focus on personal and professional development. Assignments for these modules will form a central strand of the PDP for students.</w:t>
      </w:r>
    </w:p>
    <w:p w14:paraId="69B57BBD" w14:textId="77777777" w:rsidR="00C25C7D" w:rsidRPr="008B4DA8" w:rsidRDefault="00C25C7D" w:rsidP="00360FB0">
      <w:pPr>
        <w:jc w:val="both"/>
        <w:rPr>
          <w:rFonts w:cs="Arial"/>
          <w:sz w:val="20"/>
        </w:rPr>
      </w:pPr>
    </w:p>
    <w:p w14:paraId="7258E563" w14:textId="77777777" w:rsidR="00C25C7D" w:rsidRPr="008B4DA8" w:rsidRDefault="00C25C7D" w:rsidP="00360FB0">
      <w:pPr>
        <w:jc w:val="both"/>
        <w:rPr>
          <w:sz w:val="20"/>
        </w:rPr>
      </w:pPr>
      <w:r w:rsidRPr="008B4DA8">
        <w:rPr>
          <w:sz w:val="20"/>
        </w:rPr>
        <w:t xml:space="preserve">The course complies with Equality Act 2010. It is compliant with disability legislation arising from the Disability Discrimination Act 1995 as amended by the Special Educational Needs and Disability Act 2001. </w:t>
      </w:r>
    </w:p>
    <w:p w14:paraId="5764FE1A" w14:textId="77777777" w:rsidR="00C25C7D" w:rsidRPr="008B4DA8" w:rsidRDefault="00C25C7D" w:rsidP="00360FB0">
      <w:pPr>
        <w:jc w:val="both"/>
        <w:rPr>
          <w:sz w:val="20"/>
        </w:rPr>
      </w:pPr>
    </w:p>
    <w:p w14:paraId="5874FE17" w14:textId="33ECCD41" w:rsidR="00C25C7D" w:rsidRDefault="00C25C7D" w:rsidP="00360FB0">
      <w:pPr>
        <w:jc w:val="both"/>
        <w:rPr>
          <w:sz w:val="20"/>
        </w:rPr>
      </w:pPr>
      <w:r w:rsidRPr="008B4DA8">
        <w:rPr>
          <w:sz w:val="20"/>
        </w:rPr>
        <w:t>Attendance at the course is a requirement of the NYA and the University and is monitored.</w:t>
      </w:r>
    </w:p>
    <w:p w14:paraId="1E8AF555" w14:textId="77777777" w:rsidR="00B3381F" w:rsidRDefault="00B3381F" w:rsidP="00360FB0">
      <w:pPr>
        <w:jc w:val="both"/>
        <w:rPr>
          <w:sz w:val="20"/>
        </w:rPr>
      </w:pPr>
    </w:p>
    <w:p w14:paraId="06B5BC75" w14:textId="77777777" w:rsidR="00B3381F" w:rsidRPr="008B4DA8" w:rsidRDefault="00B3381F" w:rsidP="00360FB0">
      <w:pPr>
        <w:jc w:val="both"/>
        <w:rPr>
          <w:sz w:val="20"/>
        </w:rPr>
      </w:pPr>
    </w:p>
    <w:p w14:paraId="32ABE2B0" w14:textId="312D5A45" w:rsidR="00C25C7D" w:rsidRPr="00B3381F" w:rsidRDefault="00C25C7D" w:rsidP="00B3381F">
      <w:pPr>
        <w:pStyle w:val="Heading1"/>
      </w:pPr>
      <w:r w:rsidRPr="00B3381F">
        <w:t>CRITERIA FOR ADMISSION (Full-time students)</w:t>
      </w:r>
    </w:p>
    <w:p w14:paraId="07244A90" w14:textId="77777777" w:rsidR="005116CD" w:rsidRPr="008B4DA8" w:rsidRDefault="005116CD" w:rsidP="00360FB0">
      <w:pPr>
        <w:jc w:val="both"/>
        <w:rPr>
          <w:sz w:val="20"/>
        </w:rPr>
      </w:pPr>
    </w:p>
    <w:p w14:paraId="164D3AE0" w14:textId="77777777" w:rsidR="000D0BDC" w:rsidRPr="000D58DE" w:rsidRDefault="005116CD" w:rsidP="00360FB0">
      <w:pPr>
        <w:pStyle w:val="NormalWeb"/>
        <w:jc w:val="both"/>
        <w:rPr>
          <w:rFonts w:ascii="Arial" w:hAnsi="Arial" w:cs="Arial"/>
          <w:sz w:val="20"/>
          <w:szCs w:val="20"/>
          <w:lang w:val="en"/>
        </w:rPr>
      </w:pPr>
      <w:r>
        <w:rPr>
          <w:rFonts w:ascii="Arial" w:hAnsi="Arial" w:cs="Arial"/>
          <w:sz w:val="20"/>
          <w:szCs w:val="20"/>
          <w:lang w:val="en"/>
        </w:rPr>
        <w:t>Academic e</w:t>
      </w:r>
      <w:r w:rsidR="000D0BDC" w:rsidRPr="000D58DE">
        <w:rPr>
          <w:rFonts w:ascii="Arial" w:hAnsi="Arial" w:cs="Arial"/>
          <w:sz w:val="20"/>
          <w:szCs w:val="20"/>
          <w:lang w:val="en"/>
        </w:rPr>
        <w:t>ntry requirements for this course are normally one of the following:</w:t>
      </w:r>
    </w:p>
    <w:p w14:paraId="2BD85E92" w14:textId="77777777" w:rsidR="000D0BDC" w:rsidRPr="000D58DE" w:rsidRDefault="000D0BDC" w:rsidP="00360FB0">
      <w:pPr>
        <w:pStyle w:val="NormalWeb"/>
        <w:jc w:val="both"/>
        <w:rPr>
          <w:rFonts w:ascii="Arial" w:hAnsi="Arial" w:cs="Arial"/>
          <w:sz w:val="20"/>
          <w:szCs w:val="20"/>
          <w:lang w:val="en"/>
        </w:rPr>
      </w:pPr>
      <w:r w:rsidRPr="000D58DE">
        <w:rPr>
          <w:rFonts w:ascii="Arial" w:hAnsi="Arial" w:cs="Arial"/>
          <w:sz w:val="20"/>
          <w:szCs w:val="20"/>
          <w:lang w:val="en"/>
        </w:rPr>
        <w:t xml:space="preserve">•  BBC at A Level or equivalent </w:t>
      </w:r>
    </w:p>
    <w:p w14:paraId="26B0CD8C" w14:textId="77777777" w:rsidR="000D0BDC" w:rsidRPr="000D58DE" w:rsidRDefault="000D0BDC" w:rsidP="00360FB0">
      <w:pPr>
        <w:pStyle w:val="NormalWeb"/>
        <w:jc w:val="both"/>
        <w:rPr>
          <w:rFonts w:ascii="Arial" w:hAnsi="Arial" w:cs="Arial"/>
          <w:sz w:val="20"/>
          <w:szCs w:val="20"/>
          <w:lang w:val="en"/>
        </w:rPr>
      </w:pPr>
      <w:r w:rsidRPr="000D58DE">
        <w:rPr>
          <w:rFonts w:ascii="Arial" w:hAnsi="Arial" w:cs="Arial"/>
          <w:sz w:val="20"/>
          <w:szCs w:val="20"/>
          <w:lang w:val="en"/>
        </w:rPr>
        <w:t xml:space="preserve">•  </w:t>
      </w:r>
      <w:r w:rsidR="008F510C">
        <w:rPr>
          <w:rFonts w:ascii="Arial" w:hAnsi="Arial" w:cs="Arial"/>
          <w:sz w:val="20"/>
          <w:szCs w:val="20"/>
          <w:lang w:val="en"/>
        </w:rPr>
        <w:t>108</w:t>
      </w:r>
      <w:r w:rsidRPr="000D58DE">
        <w:rPr>
          <w:rFonts w:ascii="Arial" w:hAnsi="Arial" w:cs="Arial"/>
          <w:sz w:val="20"/>
          <w:szCs w:val="20"/>
          <w:lang w:val="en"/>
        </w:rPr>
        <w:t xml:space="preserve"> UCAS points</w:t>
      </w:r>
    </w:p>
    <w:p w14:paraId="67CA4AC6" w14:textId="77777777" w:rsidR="000D0BDC" w:rsidRPr="000D58DE" w:rsidRDefault="000D0BDC" w:rsidP="00360FB0">
      <w:pPr>
        <w:pStyle w:val="NormalWeb"/>
        <w:jc w:val="both"/>
        <w:rPr>
          <w:rFonts w:ascii="Arial" w:hAnsi="Arial" w:cs="Arial"/>
          <w:sz w:val="20"/>
          <w:szCs w:val="20"/>
          <w:lang w:val="en"/>
        </w:rPr>
      </w:pPr>
      <w:r w:rsidRPr="000D58DE">
        <w:rPr>
          <w:rFonts w:ascii="Arial" w:hAnsi="Arial" w:cs="Arial"/>
          <w:sz w:val="20"/>
          <w:szCs w:val="20"/>
          <w:lang w:val="en"/>
        </w:rPr>
        <w:lastRenderedPageBreak/>
        <w:t xml:space="preserve">In addition </w:t>
      </w:r>
      <w:r w:rsidR="00A833AC">
        <w:rPr>
          <w:rFonts w:ascii="Arial" w:hAnsi="Arial" w:cs="Arial"/>
          <w:sz w:val="20"/>
          <w:szCs w:val="20"/>
          <w:lang w:val="en"/>
        </w:rPr>
        <w:t>applicants</w:t>
      </w:r>
      <w:r w:rsidRPr="000D58DE">
        <w:rPr>
          <w:rFonts w:ascii="Arial" w:hAnsi="Arial" w:cs="Arial"/>
          <w:sz w:val="20"/>
          <w:szCs w:val="20"/>
          <w:lang w:val="en"/>
        </w:rPr>
        <w:t xml:space="preserve"> must also:</w:t>
      </w:r>
    </w:p>
    <w:p w14:paraId="56A382BE" w14:textId="77777777" w:rsidR="000D0BDC" w:rsidRPr="000D58DE" w:rsidRDefault="000D0BDC" w:rsidP="00360FB0">
      <w:pPr>
        <w:pStyle w:val="NormalWeb"/>
        <w:jc w:val="both"/>
        <w:rPr>
          <w:rFonts w:ascii="Arial" w:hAnsi="Arial" w:cs="Arial"/>
          <w:sz w:val="20"/>
          <w:szCs w:val="20"/>
          <w:lang w:val="en"/>
        </w:rPr>
      </w:pPr>
      <w:r w:rsidRPr="000D58DE">
        <w:rPr>
          <w:rFonts w:ascii="Arial" w:hAnsi="Arial" w:cs="Arial"/>
          <w:sz w:val="20"/>
          <w:szCs w:val="20"/>
          <w:lang w:val="en"/>
        </w:rPr>
        <w:t>•  have GCSE English grade C or above, or equivalent.</w:t>
      </w:r>
    </w:p>
    <w:p w14:paraId="59DB93AE" w14:textId="77777777" w:rsidR="000D0BDC" w:rsidRPr="000D58DE" w:rsidRDefault="000D0BDC" w:rsidP="00360FB0">
      <w:pPr>
        <w:pStyle w:val="NormalWeb"/>
        <w:jc w:val="both"/>
        <w:rPr>
          <w:rFonts w:ascii="Arial" w:hAnsi="Arial" w:cs="Arial"/>
          <w:sz w:val="20"/>
          <w:szCs w:val="20"/>
          <w:lang w:val="en"/>
        </w:rPr>
      </w:pPr>
      <w:r w:rsidRPr="000D58DE">
        <w:rPr>
          <w:rFonts w:ascii="Arial" w:hAnsi="Arial" w:cs="Arial"/>
          <w:sz w:val="20"/>
          <w:szCs w:val="20"/>
          <w:lang w:val="en"/>
        </w:rPr>
        <w:t>•  have experience of working on a paid or voluntary basis, with young people or community groups.</w:t>
      </w:r>
    </w:p>
    <w:p w14:paraId="57BD6030" w14:textId="77777777" w:rsidR="000D0BDC" w:rsidRPr="000D58DE" w:rsidRDefault="000D0BDC" w:rsidP="00360FB0">
      <w:pPr>
        <w:pStyle w:val="NormalWeb"/>
        <w:jc w:val="both"/>
        <w:rPr>
          <w:rFonts w:ascii="Arial" w:hAnsi="Arial" w:cs="Arial"/>
          <w:sz w:val="20"/>
          <w:szCs w:val="20"/>
          <w:lang w:val="en"/>
        </w:rPr>
      </w:pPr>
      <w:r w:rsidRPr="000D58DE">
        <w:rPr>
          <w:rFonts w:ascii="Arial" w:hAnsi="Arial" w:cs="Arial"/>
          <w:sz w:val="20"/>
          <w:szCs w:val="20"/>
          <w:lang w:val="en"/>
        </w:rPr>
        <w:t>•  provide a</w:t>
      </w:r>
      <w:r>
        <w:rPr>
          <w:rFonts w:ascii="Arial" w:hAnsi="Arial" w:cs="Arial"/>
          <w:sz w:val="20"/>
          <w:szCs w:val="20"/>
          <w:lang w:val="en"/>
        </w:rPr>
        <w:t>n enhanced</w:t>
      </w:r>
      <w:r w:rsidRPr="000D58DE">
        <w:rPr>
          <w:rFonts w:ascii="Arial" w:hAnsi="Arial" w:cs="Arial"/>
          <w:sz w:val="20"/>
          <w:szCs w:val="20"/>
          <w:lang w:val="en"/>
        </w:rPr>
        <w:t xml:space="preserve"> Disclosure and </w:t>
      </w:r>
      <w:r w:rsidRPr="000D0BDC">
        <w:rPr>
          <w:rFonts w:ascii="Arial" w:hAnsi="Arial" w:cs="Arial"/>
          <w:sz w:val="20"/>
          <w:szCs w:val="20"/>
          <w:lang w:val="en"/>
        </w:rPr>
        <w:t>Barring Service (DBS) check</w:t>
      </w:r>
    </w:p>
    <w:p w14:paraId="171FF372" w14:textId="77777777" w:rsidR="00C25C7D" w:rsidRPr="008B4DA8" w:rsidRDefault="00C25C7D" w:rsidP="00360FB0">
      <w:pPr>
        <w:jc w:val="both"/>
        <w:rPr>
          <w:rFonts w:cs="Arial"/>
          <w:sz w:val="20"/>
        </w:rPr>
      </w:pPr>
    </w:p>
    <w:p w14:paraId="3FCB265E" w14:textId="77777777" w:rsidR="00C25C7D" w:rsidRPr="008B4DA8" w:rsidRDefault="00C25C7D" w:rsidP="00360FB0">
      <w:pPr>
        <w:jc w:val="both"/>
        <w:rPr>
          <w:rFonts w:cs="Arial"/>
          <w:sz w:val="20"/>
        </w:rPr>
      </w:pPr>
      <w:r w:rsidRPr="008B4DA8">
        <w:rPr>
          <w:rFonts w:cs="Arial"/>
          <w:sz w:val="20"/>
        </w:rPr>
        <w:t xml:space="preserve">Applications are accepted from candidates over the age of 21, who may not meet all of the above requirements. The successful completion of an Access to Higher Education course </w:t>
      </w:r>
      <w:r w:rsidR="00B31399">
        <w:rPr>
          <w:rFonts w:cs="Arial"/>
          <w:sz w:val="20"/>
        </w:rPr>
        <w:t xml:space="preserve">with 45 credits at merit or above </w:t>
      </w:r>
      <w:r w:rsidRPr="008B4DA8">
        <w:rPr>
          <w:rFonts w:cs="Arial"/>
          <w:sz w:val="20"/>
        </w:rPr>
        <w:t xml:space="preserve">will also be accepted for admission. </w:t>
      </w:r>
    </w:p>
    <w:p w14:paraId="6F8BC8B3" w14:textId="77777777" w:rsidR="00C25C7D" w:rsidRPr="008B4DA8" w:rsidRDefault="00C25C7D" w:rsidP="00360FB0">
      <w:pPr>
        <w:jc w:val="both"/>
        <w:rPr>
          <w:sz w:val="20"/>
        </w:rPr>
      </w:pPr>
    </w:p>
    <w:p w14:paraId="609F7216" w14:textId="77777777" w:rsidR="00C25C7D" w:rsidRPr="008B4DA8" w:rsidRDefault="00C25C7D" w:rsidP="00360FB0">
      <w:pPr>
        <w:jc w:val="both"/>
        <w:rPr>
          <w:sz w:val="20"/>
        </w:rPr>
      </w:pPr>
      <w:r w:rsidRPr="008B4DA8">
        <w:rPr>
          <w:sz w:val="20"/>
        </w:rPr>
        <w:t xml:space="preserve">Candidates may apply for APEL/APLA for previous qualifications/learning in line with the procedures established within the School. APEL / APLA is not awarded with regard to youth and community work fieldwork practice or experience except where it contributes to modules completed successfully at another HEI. </w:t>
      </w:r>
    </w:p>
    <w:p w14:paraId="5FE8A7F5" w14:textId="77777777" w:rsidR="00C25C7D" w:rsidRPr="008B4DA8" w:rsidRDefault="00C25C7D" w:rsidP="00360FB0">
      <w:pPr>
        <w:jc w:val="both"/>
        <w:rPr>
          <w:sz w:val="20"/>
        </w:rPr>
      </w:pPr>
    </w:p>
    <w:p w14:paraId="7B804668" w14:textId="77777777" w:rsidR="00C25C7D" w:rsidRPr="008B4DA8" w:rsidRDefault="00C25C7D" w:rsidP="00360FB0">
      <w:pPr>
        <w:jc w:val="both"/>
        <w:rPr>
          <w:sz w:val="20"/>
        </w:rPr>
      </w:pPr>
      <w:r w:rsidRPr="008B4DA8">
        <w:rPr>
          <w:sz w:val="20"/>
        </w:rPr>
        <w:t>Candidates holding the Commonwealth Youth Programme’s Diploma in Youth in Development may apply for direct entry to the second year of the course.</w:t>
      </w:r>
    </w:p>
    <w:p w14:paraId="0319ECE9" w14:textId="77777777" w:rsidR="00C25C7D" w:rsidRPr="008B4DA8" w:rsidRDefault="00C25C7D" w:rsidP="00360FB0">
      <w:pPr>
        <w:jc w:val="both"/>
        <w:rPr>
          <w:sz w:val="20"/>
        </w:rPr>
      </w:pPr>
    </w:p>
    <w:p w14:paraId="14A25421" w14:textId="77777777" w:rsidR="005116CD" w:rsidRPr="00360FB0" w:rsidRDefault="005116CD" w:rsidP="00360FB0">
      <w:pPr>
        <w:jc w:val="both"/>
        <w:rPr>
          <w:sz w:val="20"/>
        </w:rPr>
      </w:pPr>
      <w:r w:rsidRPr="00360FB0">
        <w:rPr>
          <w:sz w:val="20"/>
        </w:rPr>
        <w:t xml:space="preserve">The Admissions Tutor, or other JNC qualified Tutor, reads all UCAS applications. Personal statements and references are read with care to identify applicants demonstrating commitment to the vocational field. This may be demonstrated through paid or voluntary work, community involvement or other relevant activity (for example membership of student councils, youth parliaments etc.). </w:t>
      </w:r>
      <w:r w:rsidR="00B31399" w:rsidRPr="00360FB0">
        <w:rPr>
          <w:sz w:val="20"/>
        </w:rPr>
        <w:t>We follow the National Youth Agency’s recommendation of</w:t>
      </w:r>
      <w:r w:rsidRPr="00360FB0">
        <w:rPr>
          <w:sz w:val="20"/>
        </w:rPr>
        <w:t xml:space="preserve"> 100 hours or 1 year of good quality experience. Offers conditional on the achievement of the course’s academic requirements are made together with invitations to Applicant Visit Days. This enables applicants to meet with members of the Course Team and explore Course content and requirements. Enhanced DBS checks are required. </w:t>
      </w:r>
    </w:p>
    <w:p w14:paraId="32823348" w14:textId="77777777" w:rsidR="00C25C7D" w:rsidRPr="008B4DA8" w:rsidRDefault="00C25C7D" w:rsidP="00360FB0">
      <w:pPr>
        <w:jc w:val="both"/>
        <w:rPr>
          <w:sz w:val="20"/>
        </w:rPr>
      </w:pPr>
    </w:p>
    <w:p w14:paraId="47F631F7" w14:textId="77777777" w:rsidR="00C25C7D" w:rsidRPr="00BC6421" w:rsidRDefault="00C25C7D" w:rsidP="00BC6421">
      <w:pPr>
        <w:rPr>
          <w:b/>
          <w:sz w:val="22"/>
        </w:rPr>
      </w:pPr>
      <w:r w:rsidRPr="00BC6421">
        <w:rPr>
          <w:b/>
          <w:bCs/>
          <w:sz w:val="22"/>
        </w:rPr>
        <w:t>C</w:t>
      </w:r>
      <w:r w:rsidRPr="00BC6421">
        <w:rPr>
          <w:b/>
          <w:sz w:val="22"/>
        </w:rPr>
        <w:t>RITERIA FOR ADMISSION (Part-time in-service students)</w:t>
      </w:r>
    </w:p>
    <w:p w14:paraId="4AE79E48" w14:textId="77777777" w:rsidR="00C25C7D" w:rsidRPr="008B4DA8" w:rsidRDefault="00C25C7D" w:rsidP="00360FB0">
      <w:pPr>
        <w:jc w:val="both"/>
        <w:rPr>
          <w:sz w:val="20"/>
        </w:rPr>
      </w:pPr>
    </w:p>
    <w:p w14:paraId="32B009EC" w14:textId="77777777" w:rsidR="00C25C7D" w:rsidRPr="008B4DA8" w:rsidRDefault="00C25C7D" w:rsidP="00360FB0">
      <w:pPr>
        <w:jc w:val="both"/>
        <w:rPr>
          <w:sz w:val="20"/>
        </w:rPr>
      </w:pPr>
      <w:r w:rsidRPr="008B4DA8">
        <w:rPr>
          <w:sz w:val="20"/>
        </w:rPr>
        <w:t xml:space="preserve">Candidates will normally been working within the field of youth and/or community work for a minimum of 1 year. Students will normally be expected to evidence 280 UCAS points plus GCSE English s at ‘C’ or above (or equivalent). </w:t>
      </w:r>
    </w:p>
    <w:p w14:paraId="26796D71" w14:textId="77777777" w:rsidR="00C25C7D" w:rsidRPr="008B4DA8" w:rsidRDefault="00C25C7D" w:rsidP="00360FB0">
      <w:pPr>
        <w:jc w:val="both"/>
        <w:rPr>
          <w:sz w:val="20"/>
        </w:rPr>
      </w:pPr>
    </w:p>
    <w:p w14:paraId="1B683F33" w14:textId="77777777" w:rsidR="00C25C7D" w:rsidRPr="008B4DA8" w:rsidRDefault="00C25C7D" w:rsidP="00360FB0">
      <w:pPr>
        <w:jc w:val="both"/>
        <w:rPr>
          <w:sz w:val="20"/>
        </w:rPr>
      </w:pPr>
      <w:r w:rsidRPr="008B4DA8">
        <w:rPr>
          <w:sz w:val="20"/>
        </w:rPr>
        <w:t xml:space="preserve">Candidates over 21 (this has been the majority of applicants to our in-service route) who do not meet the entry requirements but who may have appropriate alternative experience or qualifications will be eligible for consideration. Evidence of ability to study at level 3 is expected. NVQ 3 in Youth and Community Work or an Access to Higher Education course will be considered as relevant qualifications. All candidates will be expected to possess good literacy and numeracy skills. Evidence of this should be included within the reference from the employer. </w:t>
      </w:r>
    </w:p>
    <w:p w14:paraId="094D5562" w14:textId="77777777" w:rsidR="00C25C7D" w:rsidRPr="008B4DA8" w:rsidRDefault="00C25C7D" w:rsidP="00360FB0">
      <w:pPr>
        <w:jc w:val="both"/>
        <w:rPr>
          <w:sz w:val="20"/>
        </w:rPr>
      </w:pPr>
    </w:p>
    <w:p w14:paraId="76D13982" w14:textId="77777777" w:rsidR="00C25C7D" w:rsidRPr="008B4DA8" w:rsidRDefault="00C25C7D" w:rsidP="00360FB0">
      <w:pPr>
        <w:jc w:val="both"/>
        <w:rPr>
          <w:sz w:val="20"/>
        </w:rPr>
      </w:pPr>
      <w:r w:rsidRPr="008B4DA8">
        <w:rPr>
          <w:sz w:val="20"/>
        </w:rPr>
        <w:t xml:space="preserve">Suitable candidates (identified as such from their application form) are normally </w:t>
      </w:r>
      <w:r w:rsidR="00A833AC">
        <w:rPr>
          <w:sz w:val="20"/>
        </w:rPr>
        <w:t>invited for an individual discussion about the course and their situation</w:t>
      </w:r>
      <w:r w:rsidR="00360FB0">
        <w:rPr>
          <w:sz w:val="20"/>
        </w:rPr>
        <w:t>. Discussions are led by</w:t>
      </w:r>
      <w:r w:rsidRPr="008B4DA8">
        <w:rPr>
          <w:sz w:val="20"/>
        </w:rPr>
        <w:t xml:space="preserve"> members of the JNC course team who may be accompanied by professional youth and community workers. </w:t>
      </w:r>
    </w:p>
    <w:p w14:paraId="5398372C" w14:textId="77777777" w:rsidR="00C25C7D" w:rsidRPr="008B4DA8" w:rsidRDefault="00C25C7D" w:rsidP="00360FB0">
      <w:pPr>
        <w:jc w:val="both"/>
        <w:rPr>
          <w:sz w:val="20"/>
        </w:rPr>
      </w:pPr>
    </w:p>
    <w:p w14:paraId="11897212" w14:textId="77777777" w:rsidR="00C25C7D" w:rsidRPr="008B4DA8" w:rsidRDefault="00C25C7D" w:rsidP="00360FB0">
      <w:pPr>
        <w:jc w:val="both"/>
        <w:rPr>
          <w:sz w:val="20"/>
        </w:rPr>
      </w:pPr>
      <w:r w:rsidRPr="008B4DA8">
        <w:rPr>
          <w:sz w:val="20"/>
        </w:rPr>
        <w:t>Confirmation that the student has paid / unpaid work of at least 10 hours per week at a relevant YCW agency and that they have identified a suitably experienced Fieldwork Supervisor (aka mentor) is a prerequisite for them taking up a place on the course and is identified at the interview. Their existing job becomes their primary site for work-based learning. It is preferred that students will be in paid work but if students are in unpaid work they must be able to evidence their long term commitment to the agency where they are working and of the commitment of the agency to their professional development.</w:t>
      </w:r>
    </w:p>
    <w:p w14:paraId="60E9E345" w14:textId="77777777" w:rsidR="00C25C7D" w:rsidRPr="008B4DA8" w:rsidRDefault="00C25C7D" w:rsidP="00360FB0">
      <w:pPr>
        <w:jc w:val="both"/>
        <w:rPr>
          <w:sz w:val="20"/>
        </w:rPr>
      </w:pPr>
    </w:p>
    <w:p w14:paraId="07C0B9E4" w14:textId="77777777" w:rsidR="00C25C7D" w:rsidRPr="008B4DA8" w:rsidRDefault="00C25C7D" w:rsidP="00360FB0">
      <w:pPr>
        <w:jc w:val="both"/>
        <w:rPr>
          <w:sz w:val="20"/>
        </w:rPr>
      </w:pPr>
      <w:r w:rsidRPr="008B4DA8">
        <w:rPr>
          <w:sz w:val="20"/>
        </w:rPr>
        <w:t xml:space="preserve">Candidates may apply for APEL/APLA for previous qualifications/learning in line with the procedures established within the School. APEL/APLA is not awarded with regard to youth and community work fieldwork practice or experience except where it contributes to modules completed successfully at another higher education institution. </w:t>
      </w:r>
    </w:p>
    <w:p w14:paraId="07A821EB" w14:textId="77777777" w:rsidR="00C25C7D" w:rsidRPr="008B4DA8" w:rsidRDefault="00C25C7D" w:rsidP="00360FB0">
      <w:pPr>
        <w:jc w:val="both"/>
        <w:rPr>
          <w:sz w:val="20"/>
        </w:rPr>
      </w:pPr>
    </w:p>
    <w:p w14:paraId="5829EFCA" w14:textId="77777777" w:rsidR="00C25C7D" w:rsidRPr="008B4DA8" w:rsidRDefault="00C25C7D" w:rsidP="00360FB0">
      <w:pPr>
        <w:jc w:val="both"/>
        <w:rPr>
          <w:sz w:val="20"/>
        </w:rPr>
      </w:pPr>
      <w:r w:rsidRPr="008B4DA8">
        <w:rPr>
          <w:sz w:val="20"/>
        </w:rPr>
        <w:lastRenderedPageBreak/>
        <w:t xml:space="preserve">Where appropriate, conditional places are offered which require the applicant to successfully meet the criteria above. It is assumed that employers will have completed an enhanced </w:t>
      </w:r>
      <w:r>
        <w:rPr>
          <w:sz w:val="20"/>
        </w:rPr>
        <w:t>Disclosure and Barring Service (DBS)</w:t>
      </w:r>
      <w:r w:rsidRPr="008B4DA8">
        <w:rPr>
          <w:sz w:val="20"/>
        </w:rPr>
        <w:t xml:space="preserve"> check. Confirmation of this is required. </w:t>
      </w:r>
    </w:p>
    <w:p w14:paraId="5BE0F3CB" w14:textId="77777777" w:rsidR="00C25C7D" w:rsidRPr="008B4DA8" w:rsidRDefault="00C25C7D" w:rsidP="00360FB0">
      <w:pPr>
        <w:jc w:val="both"/>
        <w:rPr>
          <w:sz w:val="20"/>
        </w:rPr>
      </w:pPr>
    </w:p>
    <w:p w14:paraId="5FF5A3A9" w14:textId="4C8ADDD3" w:rsidR="00C25C7D" w:rsidRPr="008B4DA8" w:rsidRDefault="00EA481B" w:rsidP="00B3381F">
      <w:pPr>
        <w:pStyle w:val="Heading1"/>
      </w:pPr>
      <w:r>
        <w:br w:type="page"/>
      </w:r>
      <w:r w:rsidR="00C25C7D" w:rsidRPr="008B4DA8">
        <w:lastRenderedPageBreak/>
        <w:t>METHODS FOR EVALUATING AND IMPROVING THE QUALITY AND STANDARDS OF TEACHING AND LEARNING</w:t>
      </w:r>
    </w:p>
    <w:p w14:paraId="6D948054" w14:textId="77777777" w:rsidR="00C25C7D" w:rsidRPr="008B4DA8" w:rsidRDefault="00C25C7D" w:rsidP="00360FB0">
      <w:pPr>
        <w:jc w:val="both"/>
        <w:rPr>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522"/>
      </w:tblGrid>
      <w:tr w:rsidR="00C25C7D" w:rsidRPr="008B4DA8" w14:paraId="6B40A90E" w14:textId="77777777">
        <w:tblPrEx>
          <w:tblCellMar>
            <w:top w:w="0" w:type="dxa"/>
            <w:bottom w:w="0" w:type="dxa"/>
          </w:tblCellMar>
        </w:tblPrEx>
        <w:tc>
          <w:tcPr>
            <w:tcW w:w="8522" w:type="dxa"/>
          </w:tcPr>
          <w:p w14:paraId="750C12F8" w14:textId="77777777" w:rsidR="00C25C7D" w:rsidRPr="008B4DA8" w:rsidRDefault="00C25C7D" w:rsidP="00360FB0">
            <w:pPr>
              <w:pStyle w:val="TOC1"/>
              <w:jc w:val="both"/>
              <w:rPr>
                <w:sz w:val="20"/>
              </w:rPr>
            </w:pPr>
          </w:p>
        </w:tc>
      </w:tr>
      <w:tr w:rsidR="00C25C7D" w:rsidRPr="008B4DA8" w14:paraId="6FF10F41" w14:textId="77777777">
        <w:tblPrEx>
          <w:tblCellMar>
            <w:top w:w="0" w:type="dxa"/>
            <w:bottom w:w="0" w:type="dxa"/>
          </w:tblCellMar>
        </w:tblPrEx>
        <w:tc>
          <w:tcPr>
            <w:tcW w:w="8522" w:type="dxa"/>
          </w:tcPr>
          <w:p w14:paraId="2AA26CC2" w14:textId="77777777" w:rsidR="00C25C7D" w:rsidRPr="008B4DA8" w:rsidRDefault="00C25C7D" w:rsidP="00360FB0">
            <w:pPr>
              <w:jc w:val="both"/>
              <w:rPr>
                <w:rFonts w:cs="Arial"/>
                <w:sz w:val="20"/>
                <w:u w:val="single"/>
              </w:rPr>
            </w:pPr>
            <w:r w:rsidRPr="008B4DA8">
              <w:rPr>
                <w:rFonts w:cs="Arial"/>
                <w:sz w:val="20"/>
                <w:u w:val="single"/>
              </w:rPr>
              <w:t>Mechanisms for review and evaluation:</w:t>
            </w:r>
          </w:p>
          <w:p w14:paraId="34330CE5" w14:textId="77777777" w:rsidR="00C25C7D" w:rsidRPr="008B4DA8" w:rsidRDefault="00C25C7D" w:rsidP="00BC6421">
            <w:pPr>
              <w:numPr>
                <w:ilvl w:val="0"/>
                <w:numId w:val="10"/>
              </w:numPr>
              <w:jc w:val="both"/>
              <w:rPr>
                <w:rFonts w:cs="Arial"/>
                <w:sz w:val="20"/>
              </w:rPr>
            </w:pPr>
            <w:r w:rsidRPr="008B4DA8">
              <w:rPr>
                <w:rFonts w:cs="Arial"/>
                <w:sz w:val="20"/>
              </w:rPr>
              <w:t>Module evaluation by students</w:t>
            </w:r>
          </w:p>
          <w:p w14:paraId="25826C6F" w14:textId="77777777" w:rsidR="00C25C7D" w:rsidRPr="008B4DA8" w:rsidRDefault="00C25C7D" w:rsidP="00BC6421">
            <w:pPr>
              <w:numPr>
                <w:ilvl w:val="0"/>
                <w:numId w:val="10"/>
              </w:numPr>
              <w:jc w:val="both"/>
              <w:rPr>
                <w:rFonts w:cs="Arial"/>
                <w:sz w:val="20"/>
              </w:rPr>
            </w:pPr>
            <w:r w:rsidRPr="008B4DA8">
              <w:rPr>
                <w:rFonts w:cs="Arial"/>
                <w:sz w:val="20"/>
              </w:rPr>
              <w:t>Course evaluation by students</w:t>
            </w:r>
          </w:p>
          <w:p w14:paraId="17869D7E" w14:textId="77777777" w:rsidR="00C25C7D" w:rsidRPr="008B4DA8" w:rsidRDefault="00C25C7D" w:rsidP="00BC6421">
            <w:pPr>
              <w:numPr>
                <w:ilvl w:val="0"/>
                <w:numId w:val="10"/>
              </w:numPr>
              <w:jc w:val="both"/>
              <w:rPr>
                <w:rFonts w:cs="Arial"/>
                <w:sz w:val="20"/>
              </w:rPr>
            </w:pPr>
            <w:r w:rsidRPr="008B4DA8">
              <w:rPr>
                <w:rFonts w:cs="Arial"/>
                <w:sz w:val="20"/>
              </w:rPr>
              <w:t>Module Leader’s Report</w:t>
            </w:r>
          </w:p>
          <w:p w14:paraId="2254A2F9" w14:textId="77777777" w:rsidR="00C25C7D" w:rsidRPr="008B4DA8" w:rsidRDefault="00C25C7D" w:rsidP="00BC6421">
            <w:pPr>
              <w:numPr>
                <w:ilvl w:val="0"/>
                <w:numId w:val="10"/>
              </w:numPr>
              <w:jc w:val="both"/>
              <w:rPr>
                <w:rFonts w:cs="Arial"/>
                <w:sz w:val="20"/>
              </w:rPr>
            </w:pPr>
            <w:r w:rsidRPr="008B4DA8">
              <w:rPr>
                <w:rFonts w:cs="Arial"/>
                <w:sz w:val="20"/>
              </w:rPr>
              <w:t>Moderation of assessments for all modules</w:t>
            </w:r>
          </w:p>
          <w:p w14:paraId="23FCE6C7" w14:textId="77777777" w:rsidR="00C25C7D" w:rsidRPr="008B4DA8" w:rsidRDefault="00C25C7D" w:rsidP="00BC6421">
            <w:pPr>
              <w:numPr>
                <w:ilvl w:val="0"/>
                <w:numId w:val="10"/>
              </w:numPr>
              <w:jc w:val="both"/>
              <w:rPr>
                <w:rFonts w:cs="Arial"/>
                <w:sz w:val="20"/>
              </w:rPr>
            </w:pPr>
            <w:r w:rsidRPr="008B4DA8">
              <w:rPr>
                <w:rFonts w:cs="Arial"/>
                <w:sz w:val="20"/>
              </w:rPr>
              <w:t>Annual course evaluation prepared by the Course Leader, considered by the Course Committee, and then by the Annual Evaluation Committee</w:t>
            </w:r>
          </w:p>
          <w:p w14:paraId="382E1C3D" w14:textId="77777777" w:rsidR="00C25C7D" w:rsidRPr="008B4DA8" w:rsidRDefault="00C25C7D" w:rsidP="00BC6421">
            <w:pPr>
              <w:numPr>
                <w:ilvl w:val="0"/>
                <w:numId w:val="10"/>
              </w:numPr>
              <w:jc w:val="both"/>
              <w:rPr>
                <w:rFonts w:cs="Arial"/>
                <w:sz w:val="20"/>
              </w:rPr>
            </w:pPr>
            <w:r w:rsidRPr="008B4DA8">
              <w:rPr>
                <w:rFonts w:cs="Arial"/>
                <w:sz w:val="20"/>
              </w:rPr>
              <w:t>Annual course monitoring prepared by the Course Leader and submitted to the National Youth Agency</w:t>
            </w:r>
          </w:p>
          <w:p w14:paraId="5BFE0F9F" w14:textId="77777777" w:rsidR="00C25C7D" w:rsidRPr="008B4DA8" w:rsidRDefault="00C25C7D" w:rsidP="00BC6421">
            <w:pPr>
              <w:numPr>
                <w:ilvl w:val="0"/>
                <w:numId w:val="10"/>
              </w:numPr>
              <w:jc w:val="both"/>
              <w:rPr>
                <w:rFonts w:cs="Arial"/>
                <w:sz w:val="20"/>
              </w:rPr>
            </w:pPr>
            <w:r w:rsidRPr="008B4DA8">
              <w:rPr>
                <w:rFonts w:cs="Arial"/>
                <w:sz w:val="20"/>
              </w:rPr>
              <w:t>School Board</w:t>
            </w:r>
          </w:p>
          <w:p w14:paraId="3CAA4132" w14:textId="77777777" w:rsidR="00C25C7D" w:rsidRPr="008B4DA8" w:rsidRDefault="00C25C7D" w:rsidP="00BC6421">
            <w:pPr>
              <w:numPr>
                <w:ilvl w:val="0"/>
                <w:numId w:val="10"/>
              </w:numPr>
              <w:jc w:val="both"/>
              <w:rPr>
                <w:rFonts w:cs="Arial"/>
                <w:sz w:val="20"/>
              </w:rPr>
            </w:pPr>
            <w:r w:rsidRPr="008B4DA8">
              <w:rPr>
                <w:rFonts w:cs="Arial"/>
                <w:sz w:val="20"/>
              </w:rPr>
              <w:t>Annual staff appraisals</w:t>
            </w:r>
          </w:p>
          <w:p w14:paraId="6A93ED5C" w14:textId="77777777" w:rsidR="00C25C7D" w:rsidRPr="008B4DA8" w:rsidRDefault="00C25C7D" w:rsidP="00BC6421">
            <w:pPr>
              <w:numPr>
                <w:ilvl w:val="0"/>
                <w:numId w:val="10"/>
              </w:numPr>
              <w:jc w:val="both"/>
              <w:rPr>
                <w:rFonts w:cs="Arial"/>
                <w:sz w:val="20"/>
              </w:rPr>
            </w:pPr>
            <w:r w:rsidRPr="008B4DA8">
              <w:rPr>
                <w:rFonts w:cs="Arial"/>
                <w:sz w:val="20"/>
              </w:rPr>
              <w:t>Peer observation of teaching</w:t>
            </w:r>
          </w:p>
          <w:p w14:paraId="4805C63A" w14:textId="77777777" w:rsidR="00C25C7D" w:rsidRPr="008B4DA8" w:rsidRDefault="00C25C7D" w:rsidP="00BC6421">
            <w:pPr>
              <w:numPr>
                <w:ilvl w:val="0"/>
                <w:numId w:val="10"/>
              </w:numPr>
              <w:jc w:val="both"/>
              <w:rPr>
                <w:rFonts w:cs="Arial"/>
                <w:sz w:val="20"/>
              </w:rPr>
            </w:pPr>
            <w:r w:rsidRPr="008B4DA8">
              <w:rPr>
                <w:rFonts w:cs="Arial"/>
                <w:sz w:val="20"/>
              </w:rPr>
              <w:t xml:space="preserve">External Examiners’ reports </w:t>
            </w:r>
          </w:p>
          <w:p w14:paraId="209276D0" w14:textId="77777777" w:rsidR="00C25C7D" w:rsidRPr="008B4DA8" w:rsidRDefault="00C25C7D" w:rsidP="00BC6421">
            <w:pPr>
              <w:numPr>
                <w:ilvl w:val="0"/>
                <w:numId w:val="10"/>
              </w:numPr>
              <w:jc w:val="both"/>
              <w:rPr>
                <w:rFonts w:cs="Arial"/>
                <w:sz w:val="20"/>
              </w:rPr>
            </w:pPr>
            <w:r w:rsidRPr="008B4DA8">
              <w:rPr>
                <w:rFonts w:cs="Arial"/>
                <w:sz w:val="20"/>
              </w:rPr>
              <w:t>External Examiners’ report and responses from the course team are reported in the Course Annual Evaluation Report.</w:t>
            </w:r>
          </w:p>
          <w:p w14:paraId="2DE4D7F0" w14:textId="77777777" w:rsidR="00C25C7D" w:rsidRPr="008B4DA8" w:rsidRDefault="00C25C7D" w:rsidP="00BC6421">
            <w:pPr>
              <w:numPr>
                <w:ilvl w:val="0"/>
                <w:numId w:val="10"/>
              </w:numPr>
              <w:jc w:val="both"/>
              <w:rPr>
                <w:rFonts w:cs="Arial"/>
                <w:sz w:val="20"/>
              </w:rPr>
            </w:pPr>
            <w:r w:rsidRPr="008B4DA8">
              <w:rPr>
                <w:rFonts w:cs="Arial"/>
                <w:sz w:val="20"/>
              </w:rPr>
              <w:t>School Teaching and Learning Committee.</w:t>
            </w:r>
          </w:p>
          <w:p w14:paraId="3F3CEBE1" w14:textId="77777777" w:rsidR="00C25C7D" w:rsidRPr="008B4DA8" w:rsidRDefault="00C25C7D" w:rsidP="00BC6421">
            <w:pPr>
              <w:numPr>
                <w:ilvl w:val="0"/>
                <w:numId w:val="10"/>
              </w:numPr>
              <w:jc w:val="both"/>
              <w:rPr>
                <w:rFonts w:cs="Arial"/>
                <w:sz w:val="20"/>
              </w:rPr>
            </w:pPr>
            <w:r w:rsidRPr="008B4DA8">
              <w:rPr>
                <w:rFonts w:cs="Arial"/>
                <w:sz w:val="20"/>
              </w:rPr>
              <w:t>School Accreditation and Validation Panel approves amendments to the course, structure and module specifications</w:t>
            </w:r>
          </w:p>
          <w:p w14:paraId="1F31DA7A" w14:textId="77777777" w:rsidR="00C25C7D" w:rsidRPr="008B4DA8" w:rsidRDefault="00C25C7D" w:rsidP="00BC6421">
            <w:pPr>
              <w:numPr>
                <w:ilvl w:val="0"/>
                <w:numId w:val="10"/>
              </w:numPr>
              <w:jc w:val="both"/>
              <w:rPr>
                <w:rFonts w:cs="Arial"/>
                <w:sz w:val="20"/>
              </w:rPr>
            </w:pPr>
            <w:r w:rsidRPr="008B4DA8">
              <w:rPr>
                <w:rFonts w:cs="Arial"/>
                <w:sz w:val="20"/>
              </w:rPr>
              <w:t>Subject review / revalidation</w:t>
            </w:r>
          </w:p>
          <w:p w14:paraId="56973596" w14:textId="77777777" w:rsidR="00C25C7D" w:rsidRPr="008B4DA8" w:rsidRDefault="00C25C7D" w:rsidP="00360FB0">
            <w:pPr>
              <w:jc w:val="both"/>
              <w:rPr>
                <w:rFonts w:cs="Arial"/>
                <w:sz w:val="20"/>
              </w:rPr>
            </w:pPr>
          </w:p>
          <w:p w14:paraId="01EFAF56" w14:textId="77777777" w:rsidR="00C25C7D" w:rsidRPr="008B4DA8" w:rsidRDefault="00C25C7D" w:rsidP="00360FB0">
            <w:pPr>
              <w:jc w:val="both"/>
              <w:rPr>
                <w:rFonts w:cs="Arial"/>
                <w:sz w:val="20"/>
                <w:u w:val="single"/>
              </w:rPr>
            </w:pPr>
            <w:r w:rsidRPr="008B4DA8">
              <w:rPr>
                <w:rFonts w:cs="Arial"/>
                <w:sz w:val="20"/>
                <w:u w:val="single"/>
              </w:rPr>
              <w:t>Committees with responsibility for monitoring and evaluating quality and standards:</w:t>
            </w:r>
          </w:p>
          <w:p w14:paraId="632622AC" w14:textId="77777777" w:rsidR="00C25C7D" w:rsidRPr="008B4DA8" w:rsidRDefault="00C25C7D" w:rsidP="00BC6421">
            <w:pPr>
              <w:numPr>
                <w:ilvl w:val="0"/>
                <w:numId w:val="11"/>
              </w:numPr>
              <w:jc w:val="both"/>
              <w:rPr>
                <w:rFonts w:cs="Arial"/>
                <w:sz w:val="20"/>
              </w:rPr>
            </w:pPr>
            <w:r w:rsidRPr="008B4DA8">
              <w:rPr>
                <w:rFonts w:cs="Arial"/>
                <w:sz w:val="20"/>
              </w:rPr>
              <w:t>Student Panel</w:t>
            </w:r>
          </w:p>
          <w:p w14:paraId="490D15AD" w14:textId="77777777" w:rsidR="00C25C7D" w:rsidRPr="008B4DA8" w:rsidRDefault="00C25C7D" w:rsidP="00BC6421">
            <w:pPr>
              <w:numPr>
                <w:ilvl w:val="0"/>
                <w:numId w:val="11"/>
              </w:numPr>
              <w:jc w:val="both"/>
              <w:rPr>
                <w:rFonts w:cs="Arial"/>
                <w:sz w:val="20"/>
              </w:rPr>
            </w:pPr>
            <w:r w:rsidRPr="008B4DA8">
              <w:rPr>
                <w:rFonts w:cs="Arial"/>
                <w:sz w:val="20"/>
              </w:rPr>
              <w:t>Course Committee</w:t>
            </w:r>
          </w:p>
          <w:p w14:paraId="16055BA0" w14:textId="77777777" w:rsidR="00C25C7D" w:rsidRPr="008B4DA8" w:rsidRDefault="00C25C7D" w:rsidP="00BC6421">
            <w:pPr>
              <w:numPr>
                <w:ilvl w:val="0"/>
                <w:numId w:val="11"/>
              </w:numPr>
              <w:jc w:val="both"/>
              <w:rPr>
                <w:rFonts w:cs="Arial"/>
                <w:sz w:val="20"/>
              </w:rPr>
            </w:pPr>
            <w:r w:rsidRPr="008B4DA8">
              <w:rPr>
                <w:rFonts w:cs="Arial"/>
                <w:sz w:val="20"/>
              </w:rPr>
              <w:t>School Board</w:t>
            </w:r>
          </w:p>
          <w:p w14:paraId="6698D16E" w14:textId="77777777" w:rsidR="00C25C7D" w:rsidRPr="008B4DA8" w:rsidRDefault="00C25C7D" w:rsidP="00BC6421">
            <w:pPr>
              <w:numPr>
                <w:ilvl w:val="0"/>
                <w:numId w:val="11"/>
              </w:numPr>
              <w:jc w:val="both"/>
              <w:rPr>
                <w:rFonts w:cs="Arial"/>
                <w:sz w:val="20"/>
              </w:rPr>
            </w:pPr>
            <w:r w:rsidRPr="008B4DA8">
              <w:rPr>
                <w:rFonts w:cs="Arial"/>
                <w:sz w:val="20"/>
              </w:rPr>
              <w:t>School Teaching and learning Committee</w:t>
            </w:r>
          </w:p>
          <w:p w14:paraId="0FA74DAB" w14:textId="77777777" w:rsidR="00C25C7D" w:rsidRPr="008B4DA8" w:rsidRDefault="00C25C7D" w:rsidP="00BC6421">
            <w:pPr>
              <w:numPr>
                <w:ilvl w:val="0"/>
                <w:numId w:val="11"/>
              </w:numPr>
              <w:jc w:val="both"/>
              <w:rPr>
                <w:rFonts w:cs="Arial"/>
                <w:sz w:val="20"/>
              </w:rPr>
            </w:pPr>
            <w:r w:rsidRPr="008B4DA8">
              <w:rPr>
                <w:rFonts w:cs="Arial"/>
                <w:sz w:val="20"/>
              </w:rPr>
              <w:t>University Teaching and Learning Committee</w:t>
            </w:r>
          </w:p>
          <w:p w14:paraId="205B5165" w14:textId="77777777" w:rsidR="00C25C7D" w:rsidRPr="008B4DA8" w:rsidRDefault="00C25C7D" w:rsidP="00BC6421">
            <w:pPr>
              <w:numPr>
                <w:ilvl w:val="0"/>
                <w:numId w:val="11"/>
              </w:numPr>
              <w:jc w:val="both"/>
              <w:rPr>
                <w:rFonts w:cs="Arial"/>
                <w:sz w:val="20"/>
              </w:rPr>
            </w:pPr>
            <w:r w:rsidRPr="008B4DA8">
              <w:rPr>
                <w:rFonts w:cs="Arial"/>
                <w:sz w:val="20"/>
              </w:rPr>
              <w:t>Course Assessment Board</w:t>
            </w:r>
          </w:p>
          <w:p w14:paraId="6A4E52FA" w14:textId="77777777" w:rsidR="00C25C7D" w:rsidRPr="008B4DA8" w:rsidRDefault="00C25C7D" w:rsidP="00BC6421">
            <w:pPr>
              <w:numPr>
                <w:ilvl w:val="0"/>
                <w:numId w:val="11"/>
              </w:numPr>
              <w:jc w:val="both"/>
              <w:rPr>
                <w:rFonts w:cs="Arial"/>
                <w:sz w:val="20"/>
              </w:rPr>
            </w:pPr>
            <w:r w:rsidRPr="008B4DA8">
              <w:rPr>
                <w:rFonts w:cs="Arial"/>
                <w:sz w:val="20"/>
              </w:rPr>
              <w:t>School Accreditation and Validation Panel</w:t>
            </w:r>
          </w:p>
          <w:p w14:paraId="59D21F01" w14:textId="77777777" w:rsidR="00C25C7D" w:rsidRPr="008B4DA8" w:rsidRDefault="00C25C7D" w:rsidP="00BC6421">
            <w:pPr>
              <w:numPr>
                <w:ilvl w:val="0"/>
                <w:numId w:val="11"/>
              </w:numPr>
              <w:jc w:val="both"/>
              <w:rPr>
                <w:rFonts w:cs="Arial"/>
                <w:sz w:val="20"/>
              </w:rPr>
            </w:pPr>
            <w:r w:rsidRPr="008B4DA8">
              <w:rPr>
                <w:rFonts w:cs="Arial"/>
                <w:sz w:val="20"/>
              </w:rPr>
              <w:t>Annual Evaluation Committee</w:t>
            </w:r>
          </w:p>
          <w:p w14:paraId="6CFC4F90" w14:textId="77777777" w:rsidR="00C25C7D" w:rsidRPr="008B4DA8" w:rsidRDefault="00C25C7D" w:rsidP="00360FB0">
            <w:pPr>
              <w:jc w:val="both"/>
              <w:rPr>
                <w:rFonts w:cs="Arial"/>
                <w:sz w:val="20"/>
              </w:rPr>
            </w:pPr>
          </w:p>
          <w:p w14:paraId="26853E3A" w14:textId="77777777" w:rsidR="00C25C7D" w:rsidRPr="008B4DA8" w:rsidRDefault="00C25C7D" w:rsidP="00360FB0">
            <w:pPr>
              <w:jc w:val="both"/>
              <w:rPr>
                <w:rFonts w:cs="Arial"/>
                <w:sz w:val="20"/>
                <w:u w:val="single"/>
              </w:rPr>
            </w:pPr>
            <w:r w:rsidRPr="008B4DA8">
              <w:rPr>
                <w:rFonts w:cs="Arial"/>
                <w:sz w:val="20"/>
                <w:u w:val="single"/>
              </w:rPr>
              <w:t>Mechanisms for gaining student feedback on the quality of teaching and their learning experience:</w:t>
            </w:r>
          </w:p>
          <w:p w14:paraId="60B0F4BC" w14:textId="77777777" w:rsidR="00C25C7D" w:rsidRPr="008B4DA8" w:rsidRDefault="00C25C7D" w:rsidP="00360FB0">
            <w:pPr>
              <w:jc w:val="both"/>
              <w:rPr>
                <w:rFonts w:cs="Arial"/>
                <w:color w:val="0000FF"/>
                <w:sz w:val="20"/>
              </w:rPr>
            </w:pPr>
            <w:r w:rsidRPr="008B4DA8">
              <w:rPr>
                <w:rFonts w:cs="Arial"/>
                <w:sz w:val="20"/>
              </w:rPr>
              <w:t>Feedback is obtained from students through course evaluation at the end of each academic year. Student Panels provide another opportunity for student feedback. They are held twice during the academic year, and report to the Course Committee</w:t>
            </w:r>
            <w:r w:rsidRPr="008B4DA8">
              <w:rPr>
                <w:rFonts w:cs="Arial"/>
                <w:color w:val="0000FF"/>
                <w:sz w:val="20"/>
              </w:rPr>
              <w:t xml:space="preserve">. </w:t>
            </w:r>
          </w:p>
          <w:p w14:paraId="7FA9BCF0" w14:textId="77777777" w:rsidR="00C25C7D" w:rsidRPr="008B4DA8" w:rsidRDefault="00C25C7D" w:rsidP="00360FB0">
            <w:pPr>
              <w:jc w:val="both"/>
              <w:rPr>
                <w:rFonts w:cs="Arial"/>
                <w:sz w:val="20"/>
                <w:u w:val="single"/>
              </w:rPr>
            </w:pPr>
          </w:p>
          <w:p w14:paraId="2DC251ED" w14:textId="77777777" w:rsidR="00C25C7D" w:rsidRPr="008B4DA8" w:rsidRDefault="00C25C7D" w:rsidP="00360FB0">
            <w:pPr>
              <w:jc w:val="both"/>
              <w:rPr>
                <w:rFonts w:cs="Arial"/>
                <w:sz w:val="20"/>
                <w:u w:val="single"/>
              </w:rPr>
            </w:pPr>
            <w:r w:rsidRPr="008B4DA8">
              <w:rPr>
                <w:rFonts w:cs="Arial"/>
                <w:sz w:val="20"/>
                <w:u w:val="single"/>
              </w:rPr>
              <w:t>Staff Development:</w:t>
            </w:r>
          </w:p>
          <w:p w14:paraId="12CDCBFD" w14:textId="77777777" w:rsidR="00C25C7D" w:rsidRPr="008B4DA8" w:rsidRDefault="00C25C7D" w:rsidP="00360FB0">
            <w:pPr>
              <w:jc w:val="both"/>
              <w:rPr>
                <w:rFonts w:cs="Arial"/>
                <w:sz w:val="20"/>
              </w:rPr>
            </w:pPr>
            <w:r w:rsidRPr="008B4DA8">
              <w:rPr>
                <w:rFonts w:cs="Arial"/>
                <w:sz w:val="20"/>
              </w:rPr>
              <w:t>Annual Staff Appraisals</w:t>
            </w:r>
          </w:p>
          <w:p w14:paraId="7C17690C" w14:textId="77777777" w:rsidR="00C25C7D" w:rsidRPr="008B4DA8" w:rsidRDefault="00C25C7D" w:rsidP="00360FB0">
            <w:pPr>
              <w:jc w:val="both"/>
              <w:rPr>
                <w:rFonts w:cs="Arial"/>
                <w:sz w:val="20"/>
              </w:rPr>
            </w:pPr>
            <w:r w:rsidRPr="008B4DA8">
              <w:rPr>
                <w:rFonts w:cs="Arial"/>
                <w:sz w:val="20"/>
              </w:rPr>
              <w:t>Peer observation of teaching</w:t>
            </w:r>
          </w:p>
          <w:p w14:paraId="2925DDC8" w14:textId="77777777" w:rsidR="00C25C7D" w:rsidRPr="008B4DA8" w:rsidRDefault="00C25C7D" w:rsidP="00360FB0">
            <w:pPr>
              <w:jc w:val="both"/>
              <w:rPr>
                <w:rFonts w:cs="Arial"/>
                <w:sz w:val="20"/>
              </w:rPr>
            </w:pPr>
            <w:r w:rsidRPr="008B4DA8">
              <w:rPr>
                <w:rFonts w:cs="Arial"/>
                <w:sz w:val="20"/>
              </w:rPr>
              <w:t xml:space="preserve">Staff </w:t>
            </w:r>
            <w:r w:rsidR="00F2331D">
              <w:rPr>
                <w:rFonts w:cs="Arial"/>
                <w:sz w:val="20"/>
              </w:rPr>
              <w:t>required</w:t>
            </w:r>
            <w:r w:rsidR="00F2331D" w:rsidRPr="008B4DA8">
              <w:rPr>
                <w:rFonts w:cs="Arial"/>
                <w:sz w:val="20"/>
              </w:rPr>
              <w:t xml:space="preserve"> </w:t>
            </w:r>
            <w:r w:rsidRPr="008B4DA8">
              <w:rPr>
                <w:rFonts w:cs="Arial"/>
                <w:sz w:val="20"/>
              </w:rPr>
              <w:t>to attain appropriate higher degrees</w:t>
            </w:r>
          </w:p>
          <w:p w14:paraId="2CBA1534" w14:textId="77777777" w:rsidR="00C25C7D" w:rsidRPr="008B4DA8" w:rsidRDefault="00C25C7D" w:rsidP="00360FB0">
            <w:pPr>
              <w:jc w:val="both"/>
              <w:rPr>
                <w:rFonts w:cs="Arial"/>
                <w:sz w:val="20"/>
              </w:rPr>
            </w:pPr>
            <w:r w:rsidRPr="008B4DA8">
              <w:rPr>
                <w:rFonts w:cs="Arial"/>
                <w:sz w:val="20"/>
              </w:rPr>
              <w:t>Updating professional and IT computing developments</w:t>
            </w:r>
          </w:p>
          <w:p w14:paraId="79CC33AB" w14:textId="77777777" w:rsidR="00C25C7D" w:rsidRPr="008B4DA8" w:rsidRDefault="00C25C7D" w:rsidP="00360FB0">
            <w:pPr>
              <w:jc w:val="both"/>
              <w:rPr>
                <w:rFonts w:cs="Arial"/>
                <w:sz w:val="20"/>
              </w:rPr>
            </w:pPr>
            <w:r w:rsidRPr="008B4DA8">
              <w:rPr>
                <w:rFonts w:cs="Arial"/>
                <w:sz w:val="20"/>
              </w:rPr>
              <w:t xml:space="preserve">All staff </w:t>
            </w:r>
            <w:r w:rsidR="00F2331D">
              <w:rPr>
                <w:rFonts w:cs="Arial"/>
                <w:sz w:val="20"/>
              </w:rPr>
              <w:t>required</w:t>
            </w:r>
            <w:r w:rsidR="00F2331D" w:rsidRPr="008B4DA8">
              <w:rPr>
                <w:rFonts w:cs="Arial"/>
                <w:sz w:val="20"/>
              </w:rPr>
              <w:t xml:space="preserve"> </w:t>
            </w:r>
            <w:r w:rsidRPr="008B4DA8">
              <w:rPr>
                <w:rFonts w:cs="Arial"/>
                <w:sz w:val="20"/>
              </w:rPr>
              <w:t>to attain HE Academy membership</w:t>
            </w:r>
          </w:p>
          <w:p w14:paraId="29E727C6" w14:textId="77777777" w:rsidR="00C25C7D" w:rsidRPr="008B4DA8" w:rsidRDefault="00C25C7D" w:rsidP="00360FB0">
            <w:pPr>
              <w:jc w:val="both"/>
              <w:rPr>
                <w:rFonts w:cs="Arial"/>
                <w:sz w:val="20"/>
              </w:rPr>
            </w:pPr>
            <w:r w:rsidRPr="008B4DA8">
              <w:rPr>
                <w:rFonts w:cs="Arial"/>
                <w:sz w:val="20"/>
              </w:rPr>
              <w:t>Research and scholarly activity</w:t>
            </w:r>
          </w:p>
          <w:p w14:paraId="23EDAC20" w14:textId="77777777" w:rsidR="00C25C7D" w:rsidRPr="008B4DA8" w:rsidRDefault="00C25C7D" w:rsidP="00360FB0">
            <w:pPr>
              <w:jc w:val="both"/>
              <w:rPr>
                <w:rFonts w:cs="Arial"/>
                <w:b/>
                <w:color w:val="0000FF"/>
                <w:sz w:val="20"/>
              </w:rPr>
            </w:pPr>
          </w:p>
        </w:tc>
      </w:tr>
    </w:tbl>
    <w:p w14:paraId="0DE32355" w14:textId="77777777" w:rsidR="00C25C7D" w:rsidRPr="008B4DA8" w:rsidRDefault="00C25C7D" w:rsidP="00360FB0">
      <w:pPr>
        <w:jc w:val="both"/>
        <w:rPr>
          <w:sz w:val="20"/>
        </w:rPr>
      </w:pPr>
    </w:p>
    <w:p w14:paraId="5DCF2AF3" w14:textId="6F41CCC1" w:rsidR="00C25C7D" w:rsidRPr="00B3381F" w:rsidRDefault="008F510C" w:rsidP="00B3381F">
      <w:pPr>
        <w:pStyle w:val="Heading1"/>
      </w:pPr>
      <w:r>
        <w:br w:type="page"/>
      </w:r>
      <w:r w:rsidR="00C25C7D" w:rsidRPr="00B3381F">
        <w:lastRenderedPageBreak/>
        <w:t>REGULATION OF ASSESSMENT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0"/>
      </w:tblGrid>
      <w:tr w:rsidR="00C25C7D" w:rsidRPr="008B4DA8" w14:paraId="6E544E92" w14:textId="77777777" w:rsidTr="008F510C">
        <w:tblPrEx>
          <w:tblCellMar>
            <w:top w:w="0" w:type="dxa"/>
            <w:bottom w:w="0" w:type="dxa"/>
          </w:tblCellMar>
        </w:tblPrEx>
        <w:trPr>
          <w:cantSplit/>
        </w:trPr>
        <w:tc>
          <w:tcPr>
            <w:tcW w:w="8520" w:type="dxa"/>
          </w:tcPr>
          <w:p w14:paraId="6FAF9985" w14:textId="77777777" w:rsidR="00C25C7D" w:rsidRPr="008B4DA8" w:rsidRDefault="00C25C7D" w:rsidP="00360FB0">
            <w:pPr>
              <w:jc w:val="both"/>
              <w:rPr>
                <w:rFonts w:ascii="Courier New" w:hAnsi="Courier New" w:cs="Courier New"/>
                <w:sz w:val="20"/>
              </w:rPr>
            </w:pPr>
            <w:r w:rsidRPr="008B4DA8">
              <w:rPr>
                <w:sz w:val="20"/>
              </w:rPr>
              <w:t xml:space="preserve">Regulations are outlined in the University Regulations for Awards and the Student Handbook of Regulations (see </w:t>
            </w:r>
            <w:hyperlink r:id="rId7" w:history="1">
              <w:r w:rsidRPr="008B4DA8">
                <w:rPr>
                  <w:rFonts w:cs="Arial"/>
                  <w:color w:val="0000FF"/>
                  <w:sz w:val="20"/>
                  <w:u w:val="single"/>
                </w:rPr>
                <w:t>http://www2.hud.ac.uk/registry/regulations.php</w:t>
              </w:r>
            </w:hyperlink>
            <w:r w:rsidRPr="008B4DA8">
              <w:rPr>
                <w:rFonts w:cs="Arial"/>
                <w:sz w:val="20"/>
              </w:rPr>
              <w:t>)</w:t>
            </w:r>
          </w:p>
          <w:p w14:paraId="3EA17D13" w14:textId="77777777" w:rsidR="00C25C7D" w:rsidRPr="008B4DA8" w:rsidRDefault="00C25C7D" w:rsidP="00360FB0">
            <w:pPr>
              <w:jc w:val="both"/>
              <w:rPr>
                <w:sz w:val="20"/>
              </w:rPr>
            </w:pPr>
            <w:hyperlink r:id="rId8" w:history="1">
              <w:r w:rsidRPr="008B4DA8">
                <w:rPr>
                  <w:rStyle w:val="Hyperlink"/>
                  <w:sz w:val="20"/>
                </w:rPr>
                <w:t>http://www2.hud.ac.uk/registry/students_handbook.php</w:t>
              </w:r>
            </w:hyperlink>
          </w:p>
          <w:p w14:paraId="5448222F" w14:textId="77777777" w:rsidR="00C25C7D" w:rsidRPr="008B4DA8" w:rsidRDefault="00C25C7D" w:rsidP="00360FB0">
            <w:pPr>
              <w:jc w:val="both"/>
              <w:rPr>
                <w:sz w:val="20"/>
              </w:rPr>
            </w:pPr>
          </w:p>
        </w:tc>
      </w:tr>
      <w:tr w:rsidR="00C25C7D" w:rsidRPr="008B4DA8" w14:paraId="5DD818F4" w14:textId="77777777" w:rsidTr="008F510C">
        <w:tblPrEx>
          <w:tblCellMar>
            <w:top w:w="0" w:type="dxa"/>
            <w:bottom w:w="0" w:type="dxa"/>
          </w:tblCellMar>
        </w:tblPrEx>
        <w:trPr>
          <w:cantSplit/>
        </w:trPr>
        <w:tc>
          <w:tcPr>
            <w:tcW w:w="8520" w:type="dxa"/>
          </w:tcPr>
          <w:p w14:paraId="33572DA7" w14:textId="77777777" w:rsidR="00C25C7D" w:rsidRPr="008B4DA8" w:rsidRDefault="00C25C7D" w:rsidP="00360FB0">
            <w:pPr>
              <w:jc w:val="both"/>
              <w:rPr>
                <w:sz w:val="20"/>
              </w:rPr>
            </w:pPr>
          </w:p>
          <w:p w14:paraId="327F27D3" w14:textId="77777777" w:rsidR="00C25C7D" w:rsidRPr="008B4DA8" w:rsidRDefault="00C25C7D" w:rsidP="00360FB0">
            <w:pPr>
              <w:jc w:val="both"/>
              <w:rPr>
                <w:i/>
                <w:sz w:val="20"/>
              </w:rPr>
            </w:pPr>
            <w:r w:rsidRPr="008B4DA8">
              <w:rPr>
                <w:i/>
                <w:sz w:val="20"/>
              </w:rPr>
              <w:t>Role of External Examiners</w:t>
            </w:r>
          </w:p>
          <w:p w14:paraId="5327A06B" w14:textId="77777777" w:rsidR="00C25C7D" w:rsidRPr="008B4DA8" w:rsidRDefault="00C25C7D" w:rsidP="00360FB0">
            <w:pPr>
              <w:autoSpaceDE w:val="0"/>
              <w:autoSpaceDN w:val="0"/>
              <w:adjustRightInd w:val="0"/>
              <w:jc w:val="both"/>
              <w:rPr>
                <w:rFonts w:cs="Arial"/>
                <w:sz w:val="20"/>
              </w:rPr>
            </w:pPr>
            <w:r w:rsidRPr="008B4DA8">
              <w:rPr>
                <w:rFonts w:cs="Arial"/>
                <w:sz w:val="20"/>
              </w:rPr>
              <w:t>External Examiners are appointed by School Boards and approved by University Teaching and Learning Committee. They monitor and comment on:</w:t>
            </w:r>
          </w:p>
          <w:p w14:paraId="32420FC0" w14:textId="77777777" w:rsidR="00C25C7D" w:rsidRPr="008B4DA8" w:rsidRDefault="00C25C7D" w:rsidP="00BC6421">
            <w:pPr>
              <w:numPr>
                <w:ilvl w:val="0"/>
                <w:numId w:val="2"/>
              </w:numPr>
              <w:autoSpaceDE w:val="0"/>
              <w:autoSpaceDN w:val="0"/>
              <w:adjustRightInd w:val="0"/>
              <w:jc w:val="both"/>
              <w:rPr>
                <w:rFonts w:cs="Arial"/>
                <w:sz w:val="20"/>
              </w:rPr>
            </w:pPr>
            <w:r w:rsidRPr="008B4DA8">
              <w:rPr>
                <w:rFonts w:cs="Arial"/>
                <w:sz w:val="20"/>
              </w:rPr>
              <w:t>the quality of student work</w:t>
            </w:r>
          </w:p>
          <w:p w14:paraId="2B62FB4A" w14:textId="77777777" w:rsidR="00C25C7D" w:rsidRPr="008B4DA8" w:rsidRDefault="00C25C7D" w:rsidP="00BC6421">
            <w:pPr>
              <w:numPr>
                <w:ilvl w:val="0"/>
                <w:numId w:val="2"/>
              </w:numPr>
              <w:autoSpaceDE w:val="0"/>
              <w:autoSpaceDN w:val="0"/>
              <w:adjustRightInd w:val="0"/>
              <w:jc w:val="both"/>
              <w:rPr>
                <w:rFonts w:cs="Arial"/>
                <w:sz w:val="20"/>
              </w:rPr>
            </w:pPr>
            <w:r w:rsidRPr="008B4DA8">
              <w:rPr>
                <w:rFonts w:cs="Arial"/>
                <w:sz w:val="20"/>
              </w:rPr>
              <w:t>the appropriateness of approaches to teaching, learning and assessment as indicated by student performance</w:t>
            </w:r>
          </w:p>
          <w:p w14:paraId="0F4F04C0" w14:textId="77777777" w:rsidR="00C25C7D" w:rsidRPr="008B4DA8" w:rsidRDefault="00C25C7D" w:rsidP="00BC6421">
            <w:pPr>
              <w:numPr>
                <w:ilvl w:val="0"/>
                <w:numId w:val="2"/>
              </w:numPr>
              <w:autoSpaceDE w:val="0"/>
              <w:autoSpaceDN w:val="0"/>
              <w:adjustRightInd w:val="0"/>
              <w:jc w:val="both"/>
              <w:rPr>
                <w:rFonts w:cs="Arial"/>
                <w:sz w:val="20"/>
              </w:rPr>
            </w:pPr>
            <w:r w:rsidRPr="008B4DA8">
              <w:rPr>
                <w:rFonts w:cs="Arial"/>
                <w:sz w:val="20"/>
              </w:rPr>
              <w:t>the relevance and currency of the curriculum and the adequacy of learning resources</w:t>
            </w:r>
          </w:p>
          <w:p w14:paraId="6575FC6F" w14:textId="77777777" w:rsidR="00C25C7D" w:rsidRPr="008B4DA8" w:rsidRDefault="00C25C7D" w:rsidP="00BC6421">
            <w:pPr>
              <w:numPr>
                <w:ilvl w:val="0"/>
                <w:numId w:val="2"/>
              </w:numPr>
              <w:autoSpaceDE w:val="0"/>
              <w:autoSpaceDN w:val="0"/>
              <w:adjustRightInd w:val="0"/>
              <w:jc w:val="both"/>
              <w:rPr>
                <w:rFonts w:cs="Arial"/>
                <w:sz w:val="20"/>
              </w:rPr>
            </w:pPr>
            <w:r w:rsidRPr="008B4DA8">
              <w:rPr>
                <w:rFonts w:cs="Arial"/>
                <w:sz w:val="20"/>
              </w:rPr>
              <w:t>the strengths and weaknesses of cohorts of students</w:t>
            </w:r>
          </w:p>
          <w:p w14:paraId="7A62217C" w14:textId="77777777" w:rsidR="00C25C7D" w:rsidRPr="008B4DA8" w:rsidRDefault="00C25C7D" w:rsidP="00BC6421">
            <w:pPr>
              <w:numPr>
                <w:ilvl w:val="0"/>
                <w:numId w:val="2"/>
              </w:numPr>
              <w:autoSpaceDE w:val="0"/>
              <w:autoSpaceDN w:val="0"/>
              <w:adjustRightInd w:val="0"/>
              <w:jc w:val="both"/>
              <w:rPr>
                <w:rFonts w:cs="Arial"/>
                <w:sz w:val="20"/>
              </w:rPr>
            </w:pPr>
            <w:r w:rsidRPr="008B4DA8">
              <w:rPr>
                <w:rFonts w:cs="Arial"/>
                <w:sz w:val="20"/>
              </w:rPr>
              <w:t>the quality of assessment procedures</w:t>
            </w:r>
          </w:p>
          <w:p w14:paraId="21AB9938" w14:textId="77777777" w:rsidR="00C25C7D" w:rsidRPr="008B4DA8" w:rsidRDefault="00C25C7D" w:rsidP="00BC6421">
            <w:pPr>
              <w:numPr>
                <w:ilvl w:val="0"/>
                <w:numId w:val="2"/>
              </w:numPr>
              <w:autoSpaceDE w:val="0"/>
              <w:autoSpaceDN w:val="0"/>
              <w:adjustRightInd w:val="0"/>
              <w:jc w:val="both"/>
              <w:rPr>
                <w:rFonts w:cs="Arial"/>
                <w:sz w:val="20"/>
              </w:rPr>
            </w:pPr>
            <w:r w:rsidRPr="008B4DA8">
              <w:rPr>
                <w:rFonts w:cs="Arial"/>
                <w:sz w:val="20"/>
              </w:rPr>
              <w:t>the conduct of examination boards</w:t>
            </w:r>
          </w:p>
          <w:p w14:paraId="4F21C6E5" w14:textId="77777777" w:rsidR="00C25C7D" w:rsidRPr="008B4DA8" w:rsidRDefault="00C25C7D" w:rsidP="00360FB0">
            <w:pPr>
              <w:jc w:val="both"/>
              <w:rPr>
                <w:sz w:val="20"/>
              </w:rPr>
            </w:pPr>
          </w:p>
        </w:tc>
      </w:tr>
    </w:tbl>
    <w:p w14:paraId="464239B5" w14:textId="4A590A90" w:rsidR="00C25C7D" w:rsidRDefault="00C25C7D" w:rsidP="00360FB0">
      <w:pPr>
        <w:jc w:val="both"/>
        <w:rPr>
          <w:b/>
          <w:sz w:val="20"/>
        </w:rPr>
      </w:pPr>
    </w:p>
    <w:p w14:paraId="5539DEE6" w14:textId="77777777" w:rsidR="00B3381F" w:rsidRDefault="00B3381F" w:rsidP="00360FB0">
      <w:pPr>
        <w:jc w:val="both"/>
        <w:rPr>
          <w:b/>
          <w:sz w:val="20"/>
        </w:rPr>
      </w:pPr>
    </w:p>
    <w:p w14:paraId="75ACB243" w14:textId="58306FB2" w:rsidR="00C25C7D" w:rsidRPr="008B4DA8" w:rsidRDefault="00C25C7D" w:rsidP="00B3381F">
      <w:pPr>
        <w:pStyle w:val="Heading1"/>
      </w:pPr>
      <w:r w:rsidRPr="008B4DA8">
        <w:t>INDICATORS OF QUALITY AND STANDARDS</w:t>
      </w:r>
    </w:p>
    <w:p w14:paraId="7D3FA88D" w14:textId="77777777" w:rsidR="00C25C7D" w:rsidRPr="008B4DA8" w:rsidRDefault="00C25C7D" w:rsidP="00360FB0">
      <w:pPr>
        <w:pStyle w:val="BodyTextIndent2"/>
        <w:ind w:left="0"/>
        <w:jc w:val="both"/>
        <w:rPr>
          <w:sz w:val="20"/>
        </w:rPr>
      </w:pPr>
    </w:p>
    <w:p w14:paraId="0E321EF0" w14:textId="77777777" w:rsidR="00FC1C93" w:rsidRPr="001D2D12" w:rsidRDefault="00FC1C93" w:rsidP="00360FB0">
      <w:pPr>
        <w:jc w:val="both"/>
        <w:rPr>
          <w:rFonts w:eastAsia="Calibri" w:cs="Arial"/>
          <w:sz w:val="20"/>
          <w:lang w:eastAsia="en-US"/>
        </w:rPr>
      </w:pPr>
      <w:bookmarkStart w:id="0" w:name="OLE_LINK3"/>
      <w:bookmarkStart w:id="1" w:name="OLE_LINK4"/>
      <w:r w:rsidRPr="001D2D12">
        <w:rPr>
          <w:rFonts w:eastAsia="Calibri" w:cs="Arial"/>
          <w:b/>
          <w:bCs/>
          <w:sz w:val="20"/>
          <w:lang w:eastAsia="en-US"/>
        </w:rPr>
        <w:t>Please note</w:t>
      </w:r>
      <w:r w:rsidRPr="001D2D12">
        <w:rPr>
          <w:rFonts w:eastAsia="Calibri" w:cs="Arial"/>
          <w:sz w:val="20"/>
          <w:lang w:eastAsia="en-US"/>
        </w:rPr>
        <w:t>: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33D99E73" w14:textId="77777777" w:rsidR="00C25C7D" w:rsidRDefault="00C25C7D" w:rsidP="00360FB0">
      <w:pPr>
        <w:pStyle w:val="Footer"/>
        <w:jc w:val="both"/>
        <w:rPr>
          <w:rFonts w:cs="Arial"/>
          <w:sz w:val="20"/>
        </w:rPr>
      </w:pPr>
    </w:p>
    <w:p w14:paraId="3EA083A2" w14:textId="77777777" w:rsidR="00AF51B2" w:rsidRDefault="00AF51B2" w:rsidP="00360FB0">
      <w:pPr>
        <w:pStyle w:val="Footer"/>
        <w:jc w:val="both"/>
        <w:rPr>
          <w:rFonts w:cs="Arial"/>
          <w:sz w:val="20"/>
        </w:rPr>
      </w:pPr>
      <w:r>
        <w:rPr>
          <w:rFonts w:cs="Arial"/>
          <w:sz w:val="20"/>
        </w:rPr>
        <w:t xml:space="preserve">The programme is validated by the University, during a process which includes external representation. </w:t>
      </w:r>
    </w:p>
    <w:p w14:paraId="2EE6C03C" w14:textId="77777777" w:rsidR="00AF51B2" w:rsidRDefault="00AF51B2" w:rsidP="00360FB0">
      <w:pPr>
        <w:pStyle w:val="Footer"/>
        <w:jc w:val="both"/>
        <w:rPr>
          <w:rFonts w:cs="Arial"/>
          <w:sz w:val="20"/>
        </w:rPr>
      </w:pPr>
      <w:r>
        <w:rPr>
          <w:rFonts w:cs="Arial"/>
          <w:sz w:val="20"/>
        </w:rPr>
        <w:t>Within the School of Education and Professional Development, courses in youth and community work are</w:t>
      </w:r>
      <w:r w:rsidR="00360FB0">
        <w:rPr>
          <w:rFonts w:cs="Arial"/>
          <w:sz w:val="20"/>
        </w:rPr>
        <w:t xml:space="preserve"> </w:t>
      </w:r>
      <w:r>
        <w:rPr>
          <w:rFonts w:cs="Arial"/>
          <w:sz w:val="20"/>
        </w:rPr>
        <w:t>subject to endorsement and accreditation</w:t>
      </w:r>
      <w:r w:rsidR="006B23A7">
        <w:rPr>
          <w:rFonts w:cs="Arial"/>
          <w:sz w:val="20"/>
        </w:rPr>
        <w:t xml:space="preserve"> by the National Youth Agency and teacher training courses are inspected by OFSTED. </w:t>
      </w:r>
    </w:p>
    <w:p w14:paraId="6569843A" w14:textId="77777777" w:rsidR="006B23A7" w:rsidRDefault="006B23A7" w:rsidP="00360FB0">
      <w:pPr>
        <w:pStyle w:val="Footer"/>
        <w:jc w:val="both"/>
        <w:rPr>
          <w:rFonts w:cs="Arial"/>
          <w:sz w:val="20"/>
        </w:rPr>
      </w:pPr>
      <w:r>
        <w:rPr>
          <w:rFonts w:cs="Arial"/>
          <w:sz w:val="20"/>
        </w:rPr>
        <w:t>The provision of the School of Education and Professional Development was reviewed by the Quality Assurance Agency in 2001. The School received an excellent grading of 22 out of 24.</w:t>
      </w:r>
    </w:p>
    <w:p w14:paraId="1C029B62" w14:textId="77777777" w:rsidR="006B23A7" w:rsidRDefault="006B23A7" w:rsidP="00360FB0">
      <w:pPr>
        <w:pStyle w:val="Footer"/>
        <w:jc w:val="both"/>
        <w:rPr>
          <w:rFonts w:cs="Arial"/>
          <w:sz w:val="20"/>
        </w:rPr>
      </w:pPr>
      <w:r>
        <w:rPr>
          <w:rFonts w:cs="Arial"/>
          <w:sz w:val="20"/>
        </w:rPr>
        <w:t xml:space="preserve">The University possesses the Investors in People Quality Kitemark. </w:t>
      </w:r>
    </w:p>
    <w:p w14:paraId="2B0FD12D" w14:textId="77777777" w:rsidR="006B23A7" w:rsidRPr="008B4DA8" w:rsidRDefault="006B23A7" w:rsidP="00360FB0">
      <w:pPr>
        <w:pStyle w:val="Footer"/>
        <w:jc w:val="both"/>
        <w:rPr>
          <w:rFonts w:cs="Arial"/>
          <w:sz w:val="20"/>
        </w:rPr>
      </w:pPr>
      <w:r>
        <w:rPr>
          <w:rFonts w:cs="Arial"/>
          <w:sz w:val="20"/>
        </w:rPr>
        <w:t xml:space="preserve">The School is a Centre for Excellence in Teacher Training. </w:t>
      </w:r>
    </w:p>
    <w:bookmarkEnd w:id="0"/>
    <w:bookmarkEnd w:id="1"/>
    <w:p w14:paraId="18D86545" w14:textId="77777777" w:rsidR="00C25C7D" w:rsidRPr="008B4DA8" w:rsidRDefault="00C25C7D" w:rsidP="00360FB0">
      <w:pPr>
        <w:pStyle w:val="BodyTextIndent2"/>
        <w:ind w:left="0"/>
        <w:jc w:val="both"/>
        <w:rPr>
          <w:b/>
          <w:bCs/>
          <w:sz w:val="20"/>
        </w:rPr>
      </w:pPr>
    </w:p>
    <w:p w14:paraId="40B1CB34" w14:textId="77777777" w:rsidR="00C25C7D" w:rsidRPr="008B4DA8" w:rsidRDefault="00C25C7D" w:rsidP="00360FB0">
      <w:pPr>
        <w:pStyle w:val="BodyTextIndent2"/>
        <w:ind w:left="0"/>
        <w:jc w:val="both"/>
        <w:rPr>
          <w:b/>
          <w:bCs/>
          <w:sz w:val="20"/>
        </w:rPr>
      </w:pPr>
    </w:p>
    <w:p w14:paraId="7FCD5A23" w14:textId="77777777" w:rsidR="00C25C7D" w:rsidRPr="008B4DA8" w:rsidRDefault="00C25C7D" w:rsidP="00360FB0">
      <w:pPr>
        <w:pStyle w:val="BodyTextIndent2"/>
        <w:ind w:left="0"/>
        <w:jc w:val="both"/>
        <w:rPr>
          <w:b/>
          <w:bCs/>
          <w:sz w:val="20"/>
        </w:rPr>
      </w:pPr>
    </w:p>
    <w:p w14:paraId="0407DF2A" w14:textId="77777777" w:rsidR="00C25C7D" w:rsidRPr="008B4DA8" w:rsidRDefault="00C25C7D" w:rsidP="00360FB0">
      <w:pPr>
        <w:pStyle w:val="BodyTextIndent2"/>
        <w:ind w:left="0"/>
        <w:jc w:val="both"/>
        <w:rPr>
          <w:b/>
          <w:bCs/>
          <w:sz w:val="20"/>
        </w:rPr>
      </w:pPr>
    </w:p>
    <w:p w14:paraId="3D08F7D8" w14:textId="77777777" w:rsidR="00C25C7D" w:rsidRPr="008B4DA8" w:rsidRDefault="00C25C7D" w:rsidP="00360FB0">
      <w:pPr>
        <w:pStyle w:val="BodyTextIndent2"/>
        <w:ind w:left="0"/>
        <w:jc w:val="both"/>
        <w:rPr>
          <w:b/>
          <w:bCs/>
          <w:sz w:val="20"/>
        </w:rPr>
      </w:pPr>
    </w:p>
    <w:p w14:paraId="1C18EC0B" w14:textId="77777777" w:rsidR="00C25C7D" w:rsidRPr="008B4DA8" w:rsidRDefault="00C25C7D" w:rsidP="00360FB0">
      <w:pPr>
        <w:pStyle w:val="BodyTextIndent2"/>
        <w:ind w:left="0"/>
        <w:jc w:val="both"/>
        <w:rPr>
          <w:b/>
          <w:bCs/>
          <w:sz w:val="20"/>
        </w:rPr>
      </w:pPr>
    </w:p>
    <w:p w14:paraId="03241BEB" w14:textId="77777777" w:rsidR="00C25C7D" w:rsidRPr="008B4DA8" w:rsidRDefault="00C25C7D" w:rsidP="00360FB0">
      <w:pPr>
        <w:pStyle w:val="BodyTextIndent2"/>
        <w:ind w:left="0"/>
        <w:jc w:val="both"/>
        <w:rPr>
          <w:b/>
          <w:bCs/>
          <w:sz w:val="20"/>
        </w:rPr>
      </w:pPr>
    </w:p>
    <w:p w14:paraId="1B4FC982" w14:textId="77777777" w:rsidR="00C25C7D" w:rsidRPr="008B4DA8" w:rsidRDefault="00C25C7D" w:rsidP="00360FB0">
      <w:pPr>
        <w:pStyle w:val="BodyTextIndent2"/>
        <w:ind w:left="0"/>
        <w:jc w:val="both"/>
        <w:rPr>
          <w:b/>
          <w:bCs/>
          <w:sz w:val="20"/>
        </w:rPr>
      </w:pPr>
    </w:p>
    <w:p w14:paraId="5EF2507A" w14:textId="77777777" w:rsidR="00C25C7D" w:rsidRPr="008B4DA8" w:rsidRDefault="00C25C7D" w:rsidP="00360FB0">
      <w:pPr>
        <w:jc w:val="both"/>
        <w:rPr>
          <w:b/>
          <w:bCs/>
          <w:sz w:val="20"/>
        </w:rPr>
      </w:pPr>
    </w:p>
    <w:p w14:paraId="11063768" w14:textId="77777777" w:rsidR="00C25C7D" w:rsidRPr="008B4DA8" w:rsidRDefault="00C25C7D" w:rsidP="00360FB0">
      <w:pPr>
        <w:jc w:val="both"/>
        <w:rPr>
          <w:rFonts w:cs="Arial"/>
          <w:b/>
          <w:sz w:val="20"/>
        </w:rPr>
      </w:pPr>
    </w:p>
    <w:p w14:paraId="36885784" w14:textId="77777777" w:rsidR="00C25C7D" w:rsidRPr="008B4DA8" w:rsidRDefault="00C25C7D" w:rsidP="00360FB0">
      <w:pPr>
        <w:jc w:val="both"/>
        <w:rPr>
          <w:sz w:val="20"/>
        </w:rPr>
      </w:pPr>
    </w:p>
    <w:p w14:paraId="2792286A" w14:textId="77777777" w:rsidR="00C25C7D" w:rsidRPr="008B4DA8" w:rsidRDefault="00C25C7D" w:rsidP="00360FB0">
      <w:pPr>
        <w:jc w:val="both"/>
        <w:rPr>
          <w:sz w:val="20"/>
        </w:rPr>
      </w:pPr>
    </w:p>
    <w:p w14:paraId="2D252C99" w14:textId="77777777" w:rsidR="00C25C7D" w:rsidRPr="00B3381F" w:rsidRDefault="00C25C7D" w:rsidP="00B3381F">
      <w:pPr>
        <w:rPr>
          <w:b/>
          <w:sz w:val="22"/>
        </w:rPr>
      </w:pPr>
      <w:r w:rsidRPr="008B4DA8">
        <w:br w:type="page"/>
      </w:r>
      <w:r w:rsidRPr="00B3381F">
        <w:rPr>
          <w:b/>
          <w:sz w:val="22"/>
        </w:rPr>
        <w:lastRenderedPageBreak/>
        <w:t xml:space="preserve">BA (Hons) Youth and Community Work Rationale document prepared for validation </w:t>
      </w:r>
      <w:r w:rsidR="005A1743" w:rsidRPr="00B3381F">
        <w:rPr>
          <w:b/>
          <w:sz w:val="22"/>
        </w:rPr>
        <w:t>NOVEMBER 2015</w:t>
      </w:r>
    </w:p>
    <w:p w14:paraId="062CA501" w14:textId="77777777" w:rsidR="00C25C7D" w:rsidRPr="00B3381F" w:rsidRDefault="00C25C7D" w:rsidP="00B3381F">
      <w:pPr>
        <w:rPr>
          <w:b/>
          <w:sz w:val="22"/>
        </w:rPr>
      </w:pPr>
    </w:p>
    <w:p w14:paraId="79C2CC69" w14:textId="77777777" w:rsidR="00C25C7D" w:rsidRPr="00B3381F" w:rsidRDefault="00C25C7D" w:rsidP="00B3381F">
      <w:pPr>
        <w:rPr>
          <w:b/>
          <w:sz w:val="22"/>
        </w:rPr>
      </w:pPr>
      <w:r w:rsidRPr="00B3381F">
        <w:rPr>
          <w:b/>
          <w:sz w:val="22"/>
        </w:rPr>
        <w:t xml:space="preserve">1. </w:t>
      </w:r>
      <w:r w:rsidRPr="00B3381F">
        <w:rPr>
          <w:b/>
          <w:sz w:val="22"/>
        </w:rPr>
        <w:tab/>
        <w:t>Introduction</w:t>
      </w:r>
    </w:p>
    <w:p w14:paraId="4128C910" w14:textId="77777777" w:rsidR="00C25C7D" w:rsidRPr="008B4DA8" w:rsidRDefault="00C25C7D" w:rsidP="00360FB0">
      <w:pPr>
        <w:jc w:val="both"/>
        <w:rPr>
          <w:rFonts w:cs="Arial"/>
          <w:sz w:val="20"/>
        </w:rPr>
      </w:pPr>
    </w:p>
    <w:p w14:paraId="54B63A76" w14:textId="77777777" w:rsidR="00C25C7D" w:rsidRPr="008B4DA8" w:rsidRDefault="00C25C7D" w:rsidP="00360FB0">
      <w:pPr>
        <w:pStyle w:val="BodyText"/>
        <w:jc w:val="both"/>
        <w:rPr>
          <w:rFonts w:cs="Arial"/>
          <w:i w:val="0"/>
          <w:sz w:val="20"/>
        </w:rPr>
      </w:pPr>
      <w:r w:rsidRPr="008B4DA8">
        <w:rPr>
          <w:rFonts w:cs="Arial"/>
          <w:i w:val="0"/>
          <w:sz w:val="20"/>
        </w:rPr>
        <w:t xml:space="preserve">The BA (Hons) Youth and Community Work brings together academic and vocational components and leads to the professional qualification in youth and community work (validated by the National Youth Agency) as well as the honours degree. Alongside their university attendance, Students undertake supervised </w:t>
      </w:r>
      <w:proofErr w:type="spellStart"/>
      <w:r w:rsidRPr="008B4DA8">
        <w:rPr>
          <w:rFonts w:cs="Arial"/>
          <w:i w:val="0"/>
          <w:sz w:val="20"/>
        </w:rPr>
        <w:t>workbase</w:t>
      </w:r>
      <w:proofErr w:type="spellEnd"/>
      <w:r w:rsidRPr="008B4DA8">
        <w:rPr>
          <w:rFonts w:cs="Arial"/>
          <w:i w:val="0"/>
          <w:sz w:val="20"/>
        </w:rPr>
        <w:t xml:space="preserve"> placements in each of their three years of study. Placement agencies mirror the range of organisations employing qualified youth and community workers and include local authorities’ </w:t>
      </w:r>
      <w:r w:rsidR="00BC5385">
        <w:rPr>
          <w:rFonts w:cs="Arial"/>
          <w:i w:val="0"/>
          <w:sz w:val="20"/>
        </w:rPr>
        <w:t xml:space="preserve">integrated </w:t>
      </w:r>
      <w:r w:rsidRPr="008B4DA8">
        <w:rPr>
          <w:rFonts w:cs="Arial"/>
          <w:i w:val="0"/>
          <w:sz w:val="20"/>
        </w:rPr>
        <w:t xml:space="preserve">youth services, pupil referral units and a range of statutory and voluntary organisations working with young people and communities. </w:t>
      </w:r>
    </w:p>
    <w:p w14:paraId="6DED9DED" w14:textId="77777777" w:rsidR="00C25C7D" w:rsidRPr="008B4DA8" w:rsidRDefault="00C25C7D" w:rsidP="00360FB0">
      <w:pPr>
        <w:pStyle w:val="BodyText"/>
        <w:jc w:val="both"/>
        <w:rPr>
          <w:rFonts w:cs="Arial"/>
          <w:i w:val="0"/>
          <w:sz w:val="20"/>
        </w:rPr>
      </w:pPr>
    </w:p>
    <w:p w14:paraId="4FD07DDD" w14:textId="77777777" w:rsidR="00C25C7D" w:rsidRPr="008B4DA8" w:rsidRDefault="00C25C7D" w:rsidP="00360FB0">
      <w:pPr>
        <w:pStyle w:val="BodyText"/>
        <w:jc w:val="both"/>
        <w:rPr>
          <w:rFonts w:cs="Arial"/>
          <w:i w:val="0"/>
          <w:sz w:val="20"/>
        </w:rPr>
      </w:pPr>
      <w:r w:rsidRPr="008B4DA8">
        <w:rPr>
          <w:rFonts w:cs="Arial"/>
          <w:i w:val="0"/>
          <w:sz w:val="20"/>
        </w:rPr>
        <w:t xml:space="preserve">The part-time BA (Hons) Youth and Community Work (In-service) brings together academic and vocational components and leads to the professional qualification in youth and community work as well as the honours degree. Alongside their university attendance, Students undertake supervised work-base placements in each of their four years of study. In-service students are drawn from a range of organisations employing youth and community workers and include local authorities’ youth services and a range of statutory and voluntary organisations working with young people and communities. Part-time and full-time students normally study together for the majority of their time on the course. </w:t>
      </w:r>
    </w:p>
    <w:p w14:paraId="0C796F5D" w14:textId="77777777" w:rsidR="00C25C7D" w:rsidRPr="008B4DA8" w:rsidRDefault="00C25C7D" w:rsidP="00360FB0">
      <w:pPr>
        <w:jc w:val="both"/>
        <w:rPr>
          <w:rFonts w:cs="Arial"/>
          <w:sz w:val="20"/>
        </w:rPr>
      </w:pPr>
    </w:p>
    <w:p w14:paraId="29B201BA" w14:textId="77777777" w:rsidR="00C25C7D" w:rsidRPr="00B3381F" w:rsidRDefault="00C25C7D" w:rsidP="00B3381F">
      <w:pPr>
        <w:rPr>
          <w:b/>
          <w:sz w:val="22"/>
        </w:rPr>
      </w:pPr>
      <w:r w:rsidRPr="00B3381F">
        <w:rPr>
          <w:b/>
          <w:sz w:val="22"/>
        </w:rPr>
        <w:t>2.</w:t>
      </w:r>
      <w:r w:rsidRPr="00B3381F">
        <w:rPr>
          <w:b/>
          <w:sz w:val="22"/>
        </w:rPr>
        <w:tab/>
        <w:t>course context: History and Development</w:t>
      </w:r>
    </w:p>
    <w:p w14:paraId="2CF9063A" w14:textId="77777777" w:rsidR="00C25C7D" w:rsidRPr="008B4DA8" w:rsidRDefault="00C25C7D" w:rsidP="00360FB0">
      <w:pPr>
        <w:jc w:val="both"/>
        <w:rPr>
          <w:rFonts w:cs="Arial"/>
          <w:sz w:val="20"/>
        </w:rPr>
      </w:pPr>
    </w:p>
    <w:p w14:paraId="6870A7C0" w14:textId="77777777" w:rsidR="00C25C7D" w:rsidRPr="008B4DA8" w:rsidRDefault="00C25C7D" w:rsidP="00360FB0">
      <w:pPr>
        <w:jc w:val="both"/>
        <w:rPr>
          <w:rFonts w:cs="Arial"/>
          <w:sz w:val="20"/>
        </w:rPr>
      </w:pPr>
      <w:r w:rsidRPr="008B4DA8">
        <w:rPr>
          <w:rFonts w:cs="Arial"/>
          <w:sz w:val="20"/>
        </w:rPr>
        <w:t xml:space="preserve">The University of Huddersfield’s School of Education and Professional Development has a long history of involvement in the training of teachers. It has particular strengths in the training of teachers for the post-16 sector, including further and higher education. Much of this provision is delivered through a consortium comprising Further Education Colleges across the North of England. </w:t>
      </w:r>
    </w:p>
    <w:p w14:paraId="44E051EF" w14:textId="77777777" w:rsidR="00C25C7D" w:rsidRPr="008B4DA8" w:rsidRDefault="00C25C7D" w:rsidP="00360FB0">
      <w:pPr>
        <w:jc w:val="both"/>
        <w:rPr>
          <w:rFonts w:cs="Arial"/>
          <w:sz w:val="20"/>
        </w:rPr>
      </w:pPr>
    </w:p>
    <w:p w14:paraId="6CB407DA" w14:textId="77777777" w:rsidR="00C25C7D" w:rsidRPr="008B4DA8" w:rsidRDefault="00C25C7D" w:rsidP="00360FB0">
      <w:pPr>
        <w:jc w:val="both"/>
        <w:rPr>
          <w:rFonts w:cs="Arial"/>
          <w:sz w:val="20"/>
        </w:rPr>
      </w:pPr>
      <w:r w:rsidRPr="008B4DA8">
        <w:rPr>
          <w:rFonts w:cs="Arial"/>
          <w:sz w:val="20"/>
        </w:rPr>
        <w:t xml:space="preserve">The School also has key strengths in the effective management of work-based learning. It has extensive experience of working with individuals in their own workplaces through its in-service teacher training provision. Substantial work placements are offered within the full-time pre-service teacher training work, where the School currently manages over 300 placements in more than 60 institutions, including colleges, prisons, adult and community education settings and training organisations. </w:t>
      </w:r>
    </w:p>
    <w:p w14:paraId="519E21B7" w14:textId="77777777" w:rsidR="00C25C7D" w:rsidRPr="008B4DA8" w:rsidRDefault="00C25C7D" w:rsidP="00360FB0">
      <w:pPr>
        <w:jc w:val="both"/>
        <w:rPr>
          <w:rFonts w:cs="Arial"/>
          <w:sz w:val="20"/>
        </w:rPr>
      </w:pPr>
    </w:p>
    <w:p w14:paraId="3A805C7F" w14:textId="77777777" w:rsidR="00C25C7D" w:rsidRPr="008B4DA8" w:rsidRDefault="00C25C7D" w:rsidP="00360FB0">
      <w:pPr>
        <w:jc w:val="both"/>
        <w:rPr>
          <w:rFonts w:cs="Arial"/>
          <w:sz w:val="20"/>
        </w:rPr>
      </w:pPr>
      <w:r w:rsidRPr="008B4DA8">
        <w:rPr>
          <w:rFonts w:cs="Arial"/>
          <w:sz w:val="20"/>
        </w:rPr>
        <w:t xml:space="preserve">This experience provided a firm basis on which the BA (Hons) Community Education was created in 1995 as a new and innovative initiative for the School: its first </w:t>
      </w:r>
      <w:r w:rsidR="00BC5385">
        <w:rPr>
          <w:rFonts w:cs="Arial"/>
          <w:sz w:val="20"/>
        </w:rPr>
        <w:t xml:space="preserve">full undergraduate degree course and its first </w:t>
      </w:r>
      <w:r w:rsidRPr="008B4DA8">
        <w:rPr>
          <w:rFonts w:cs="Arial"/>
          <w:sz w:val="20"/>
        </w:rPr>
        <w:t xml:space="preserve">Course in youth and community work (YCW) including the professional qualification in the field, endorsed by the National Youth Agency (NYA). Local authorities, especially Kirklees, Calderdale, Oldham, Rochdale and Wakefield, further education colleges, racial equality councils, voluntary organisations, professional bodies and trades unions were involved in the development of the Course, ensuring the curriculum addressed issues faced by young people and communities, and the qualification was relevant to the job prospects of the </w:t>
      </w:r>
      <w:r w:rsidR="00F2331D">
        <w:rPr>
          <w:rFonts w:cs="Arial"/>
          <w:sz w:val="20"/>
        </w:rPr>
        <w:t>s</w:t>
      </w:r>
      <w:r w:rsidR="00F2331D" w:rsidRPr="008B4DA8">
        <w:rPr>
          <w:rFonts w:cs="Arial"/>
          <w:sz w:val="20"/>
        </w:rPr>
        <w:t>tudents</w:t>
      </w:r>
      <w:r w:rsidRPr="008B4DA8">
        <w:rPr>
          <w:rFonts w:cs="Arial"/>
          <w:sz w:val="20"/>
        </w:rPr>
        <w:t xml:space="preserve">. </w:t>
      </w:r>
    </w:p>
    <w:p w14:paraId="69694701" w14:textId="77777777" w:rsidR="00C25C7D" w:rsidRPr="008B4DA8" w:rsidRDefault="00C25C7D" w:rsidP="00360FB0">
      <w:pPr>
        <w:jc w:val="both"/>
        <w:rPr>
          <w:rFonts w:cs="Arial"/>
          <w:sz w:val="20"/>
        </w:rPr>
      </w:pPr>
    </w:p>
    <w:p w14:paraId="06D5ED86" w14:textId="77777777" w:rsidR="00C25C7D" w:rsidRDefault="00C25C7D" w:rsidP="00360FB0">
      <w:pPr>
        <w:jc w:val="both"/>
        <w:rPr>
          <w:rFonts w:cs="Arial"/>
          <w:sz w:val="20"/>
        </w:rPr>
      </w:pPr>
      <w:r w:rsidRPr="008B4DA8">
        <w:rPr>
          <w:rFonts w:cs="Arial"/>
          <w:sz w:val="20"/>
        </w:rPr>
        <w:t xml:space="preserve">The vision underpinning the degree was one which located youth and community work within a wider perspective of community-based education. However, the degree title was seen as limiting recruitment, particularly beyond the immediate locality. Many potential and current YCW practitioners were unaware that the degree included the NYA-validated Diploma and categorisation within UCAS was unclear. As a result, following discussion with the Pathway Committee, which continued to represent a wide range of local and regional employers, the degree was retitled in 2002. The first Students achieving the BA (Hons) Youth and Community Work graduated in 2005. The retitling of the degree did not involve any change to the vision underpinning the degree which retained its emphasis on YCW as an educational endeavour.  </w:t>
      </w:r>
    </w:p>
    <w:p w14:paraId="5805E054" w14:textId="77777777" w:rsidR="00F2331D" w:rsidRPr="008B4DA8" w:rsidRDefault="00F2331D" w:rsidP="00360FB0">
      <w:pPr>
        <w:jc w:val="both"/>
        <w:rPr>
          <w:rFonts w:cs="Arial"/>
          <w:sz w:val="20"/>
        </w:rPr>
      </w:pPr>
    </w:p>
    <w:p w14:paraId="747BEE9F" w14:textId="77777777" w:rsidR="00BC5385" w:rsidRPr="008B4DA8" w:rsidRDefault="00C25C7D" w:rsidP="00360FB0">
      <w:pPr>
        <w:pStyle w:val="BodyText"/>
        <w:jc w:val="both"/>
        <w:rPr>
          <w:rFonts w:cs="Arial"/>
          <w:i w:val="0"/>
          <w:sz w:val="20"/>
        </w:rPr>
      </w:pPr>
      <w:r w:rsidRPr="008B4DA8">
        <w:rPr>
          <w:rFonts w:cs="Arial"/>
          <w:i w:val="0"/>
          <w:sz w:val="20"/>
        </w:rPr>
        <w:t xml:space="preserve">In 1999, the success of the BA (Hons) Community Education gave rise to the postgraduate Diploma in Professional Studies (YCW). This responded directly to local and regional demand for a post-graduate YCW </w:t>
      </w:r>
      <w:r w:rsidR="00BC5385">
        <w:rPr>
          <w:rFonts w:cs="Arial"/>
          <w:i w:val="0"/>
          <w:sz w:val="20"/>
        </w:rPr>
        <w:t xml:space="preserve">qualification and also met needs identified in the report, ‘A Different Country?’; research into the training needs of youth and community arts workers, undertaken in partnership with Yorkshire Arts and the Youth Association. </w:t>
      </w:r>
      <w:r w:rsidR="00BC5385" w:rsidRPr="008B4DA8">
        <w:rPr>
          <w:rFonts w:cs="Arial"/>
          <w:i w:val="0"/>
          <w:sz w:val="20"/>
        </w:rPr>
        <w:t xml:space="preserve">Originally established as an in-service, part-time </w:t>
      </w:r>
      <w:r w:rsidR="00F2331D">
        <w:rPr>
          <w:rFonts w:cs="Arial"/>
          <w:i w:val="0"/>
          <w:sz w:val="20"/>
        </w:rPr>
        <w:t>c</w:t>
      </w:r>
      <w:r w:rsidR="00F2331D" w:rsidRPr="008B4DA8">
        <w:rPr>
          <w:rFonts w:cs="Arial"/>
          <w:i w:val="0"/>
          <w:sz w:val="20"/>
        </w:rPr>
        <w:t>ourse</w:t>
      </w:r>
      <w:r w:rsidR="00BC5385" w:rsidRPr="008B4DA8">
        <w:rPr>
          <w:rFonts w:cs="Arial"/>
          <w:i w:val="0"/>
          <w:sz w:val="20"/>
        </w:rPr>
        <w:t>, the postgraduate programme is being offered at master’s degree level</w:t>
      </w:r>
      <w:r w:rsidR="00BC5385">
        <w:rPr>
          <w:rFonts w:cs="Arial"/>
          <w:i w:val="0"/>
          <w:sz w:val="20"/>
        </w:rPr>
        <w:t xml:space="preserve"> on a full-time or part-time basis</w:t>
      </w:r>
      <w:r w:rsidR="00BC5385" w:rsidRPr="008B4DA8">
        <w:rPr>
          <w:rFonts w:cs="Arial"/>
          <w:i w:val="0"/>
          <w:sz w:val="20"/>
        </w:rPr>
        <w:t xml:space="preserve">. </w:t>
      </w:r>
    </w:p>
    <w:p w14:paraId="517E507B" w14:textId="77777777" w:rsidR="00C25C7D" w:rsidRPr="008B4DA8" w:rsidRDefault="00C25C7D" w:rsidP="00360FB0">
      <w:pPr>
        <w:pStyle w:val="BodyText"/>
        <w:jc w:val="both"/>
        <w:rPr>
          <w:rFonts w:cs="Arial"/>
          <w:i w:val="0"/>
          <w:sz w:val="20"/>
        </w:rPr>
        <w:sectPr w:rsidR="00C25C7D" w:rsidRPr="008B4DA8">
          <w:footerReference w:type="even" r:id="rId9"/>
          <w:footerReference w:type="default" r:id="rId10"/>
          <w:pgSz w:w="11900" w:h="16840"/>
          <w:pgMar w:top="1418" w:right="1418" w:bottom="1418" w:left="1418" w:header="720" w:footer="720" w:gutter="0"/>
          <w:cols w:space="720"/>
        </w:sectPr>
      </w:pPr>
    </w:p>
    <w:p w14:paraId="75E26F4C" w14:textId="77777777" w:rsidR="00C25C7D" w:rsidRPr="008B4DA8" w:rsidRDefault="00C25C7D" w:rsidP="00360FB0">
      <w:pPr>
        <w:pStyle w:val="BodyText"/>
        <w:jc w:val="both"/>
        <w:rPr>
          <w:rFonts w:cs="Arial"/>
          <w:sz w:val="20"/>
        </w:rPr>
      </w:pPr>
    </w:p>
    <w:p w14:paraId="0AD4B70A" w14:textId="77777777" w:rsidR="00C25C7D" w:rsidRPr="008B4DA8" w:rsidRDefault="00C25C7D" w:rsidP="00360FB0">
      <w:pPr>
        <w:pStyle w:val="BodyText"/>
        <w:jc w:val="both"/>
        <w:rPr>
          <w:rFonts w:cs="Arial"/>
          <w:i w:val="0"/>
          <w:sz w:val="20"/>
        </w:rPr>
      </w:pPr>
    </w:p>
    <w:p w14:paraId="1D7EBB00" w14:textId="77777777" w:rsidR="00C25C7D" w:rsidRPr="008B4DA8" w:rsidRDefault="00C25C7D" w:rsidP="00360FB0">
      <w:pPr>
        <w:pStyle w:val="BodyText"/>
        <w:jc w:val="both"/>
        <w:rPr>
          <w:rFonts w:cs="Arial"/>
          <w:i w:val="0"/>
          <w:sz w:val="20"/>
        </w:rPr>
      </w:pPr>
      <w:r w:rsidRPr="008B4DA8">
        <w:rPr>
          <w:rFonts w:cs="Arial"/>
          <w:i w:val="0"/>
          <w:sz w:val="20"/>
        </w:rPr>
        <w:t>In September 2009 the first cohort of students embarked on the newly created BA</w:t>
      </w:r>
      <w:r w:rsidR="00F2331D">
        <w:rPr>
          <w:rFonts w:cs="Arial"/>
          <w:i w:val="0"/>
          <w:sz w:val="20"/>
        </w:rPr>
        <w:t xml:space="preserve"> </w:t>
      </w:r>
      <w:r w:rsidRPr="008B4DA8">
        <w:rPr>
          <w:rFonts w:cs="Arial"/>
          <w:i w:val="0"/>
          <w:sz w:val="20"/>
        </w:rPr>
        <w:t>(Hons) Childhood Studies. Students on the BA CS and BA YCW (both routes) together with students on the BA Religion and Education</w:t>
      </w:r>
      <w:r w:rsidR="00A519A3">
        <w:rPr>
          <w:rFonts w:cs="Arial"/>
          <w:i w:val="0"/>
          <w:sz w:val="20"/>
        </w:rPr>
        <w:t xml:space="preserve"> and BA Early Years</w:t>
      </w:r>
      <w:r w:rsidRPr="008B4DA8">
        <w:rPr>
          <w:rFonts w:cs="Arial"/>
          <w:i w:val="0"/>
          <w:sz w:val="20"/>
        </w:rPr>
        <w:t xml:space="preserve"> study many modules together, which enriches the learning experience for students on </w:t>
      </w:r>
      <w:r w:rsidR="00F2331D">
        <w:rPr>
          <w:rFonts w:cs="Arial"/>
          <w:i w:val="0"/>
          <w:sz w:val="20"/>
        </w:rPr>
        <w:t>all</w:t>
      </w:r>
      <w:r w:rsidR="00F2331D" w:rsidRPr="008B4DA8">
        <w:rPr>
          <w:rFonts w:cs="Arial"/>
          <w:i w:val="0"/>
          <w:sz w:val="20"/>
        </w:rPr>
        <w:t xml:space="preserve"> </w:t>
      </w:r>
      <w:r w:rsidRPr="008B4DA8">
        <w:rPr>
          <w:rFonts w:cs="Arial"/>
          <w:i w:val="0"/>
          <w:sz w:val="20"/>
        </w:rPr>
        <w:t xml:space="preserve">courses. From September 2012, greater coherence </w:t>
      </w:r>
      <w:r w:rsidR="00A519A3">
        <w:rPr>
          <w:rFonts w:cs="Arial"/>
          <w:i w:val="0"/>
          <w:sz w:val="20"/>
        </w:rPr>
        <w:t>was</w:t>
      </w:r>
      <w:r w:rsidRPr="008B4DA8">
        <w:rPr>
          <w:rFonts w:cs="Arial"/>
          <w:i w:val="0"/>
          <w:sz w:val="20"/>
        </w:rPr>
        <w:t xml:space="preserve"> introduced through the </w:t>
      </w:r>
      <w:r w:rsidR="00A519A3">
        <w:rPr>
          <w:rFonts w:cs="Arial"/>
          <w:i w:val="0"/>
          <w:sz w:val="20"/>
        </w:rPr>
        <w:t xml:space="preserve">creation of the </w:t>
      </w:r>
      <w:r w:rsidRPr="008B4DA8">
        <w:rPr>
          <w:rFonts w:cs="Arial"/>
          <w:i w:val="0"/>
          <w:sz w:val="20"/>
        </w:rPr>
        <w:t xml:space="preserve">‘undergraduate framework’ which links the School’s undergraduate provision into a clear structure. Students on the BA(Hons) Youth and Community Work study alongside students who are studying on the BA(Hons) Youth and Community Work (In-Service), enabling them to benefit from the practical experience of those studying on a day-release basis. </w:t>
      </w:r>
    </w:p>
    <w:p w14:paraId="21D8A39A" w14:textId="77777777" w:rsidR="00C25C7D" w:rsidRPr="008B4DA8" w:rsidRDefault="00C25C7D" w:rsidP="00360FB0">
      <w:pPr>
        <w:pStyle w:val="BodyText"/>
        <w:jc w:val="both"/>
        <w:rPr>
          <w:rFonts w:cs="Arial"/>
          <w:i w:val="0"/>
          <w:sz w:val="20"/>
        </w:rPr>
      </w:pPr>
    </w:p>
    <w:p w14:paraId="0F09120E" w14:textId="77777777" w:rsidR="00C25C7D" w:rsidRPr="008B4DA8" w:rsidRDefault="00C25C7D" w:rsidP="00360FB0">
      <w:pPr>
        <w:pStyle w:val="BodyText"/>
        <w:jc w:val="both"/>
        <w:rPr>
          <w:rFonts w:cs="Arial"/>
          <w:i w:val="0"/>
          <w:sz w:val="20"/>
        </w:rPr>
      </w:pPr>
      <w:r w:rsidRPr="008B4DA8">
        <w:rPr>
          <w:rFonts w:cs="Arial"/>
          <w:i w:val="0"/>
          <w:sz w:val="20"/>
        </w:rPr>
        <w:t xml:space="preserve">The part-time In-Service route draws on the staff team’s experience of delivering courses to in-service students. The course has been designed to take account of the pressures on part time students who are also working within the field and on the needs of the profession and the agencies that are employing professional Youth and Community Workers. When we moved from a Foundation Degree to a full Honours Degree, further pressures were placed on both students and employers. The course was designed to take account of the need to increase the academic standing of the qualification to a full honours degree. </w:t>
      </w:r>
    </w:p>
    <w:p w14:paraId="6A066505" w14:textId="77777777" w:rsidR="00C25C7D" w:rsidRPr="008B4DA8" w:rsidRDefault="00C25C7D" w:rsidP="00360FB0">
      <w:pPr>
        <w:pStyle w:val="BodyText"/>
        <w:jc w:val="both"/>
        <w:rPr>
          <w:rFonts w:cs="Arial"/>
          <w:i w:val="0"/>
          <w:sz w:val="20"/>
        </w:rPr>
      </w:pPr>
    </w:p>
    <w:p w14:paraId="125E6B07" w14:textId="77777777" w:rsidR="00C25C7D" w:rsidRPr="008B4DA8" w:rsidRDefault="00C25C7D" w:rsidP="00360FB0">
      <w:pPr>
        <w:pStyle w:val="BodyText"/>
        <w:jc w:val="both"/>
        <w:rPr>
          <w:rFonts w:cs="Arial"/>
          <w:i w:val="0"/>
          <w:sz w:val="20"/>
        </w:rPr>
      </w:pPr>
      <w:r w:rsidRPr="008B4DA8">
        <w:rPr>
          <w:rFonts w:cs="Arial"/>
          <w:i w:val="0"/>
          <w:sz w:val="20"/>
        </w:rPr>
        <w:t xml:space="preserve">The part-time route to the degree is an in-service route but </w:t>
      </w:r>
      <w:r w:rsidR="003D64E2">
        <w:rPr>
          <w:rFonts w:cs="Arial"/>
          <w:i w:val="0"/>
          <w:sz w:val="20"/>
        </w:rPr>
        <w:t>on occasion we may allow</w:t>
      </w:r>
      <w:r w:rsidRPr="008B4DA8">
        <w:rPr>
          <w:rFonts w:cs="Arial"/>
          <w:i w:val="0"/>
          <w:sz w:val="20"/>
        </w:rPr>
        <w:t xml:space="preserve"> students that are working within a volunteering capacity the possibility of accessing the course. This is seen as a way of allowing mature students who are already sure of their commitment to the profession and who already have a substantial amount of relevant experience a way into professional training. Any volunteering placement would be examined to ensure that it was an appropriate and supportive environment for professional learning. We would be expecting that students starting as volunteers on the course would be able to move into paid employment as they progressed through the course.  It may well be that students already have paid work in a related field and have thus already moved towards commitment to the youth and community work profession. </w:t>
      </w:r>
    </w:p>
    <w:p w14:paraId="4B3CA8D5" w14:textId="77777777" w:rsidR="00C25C7D" w:rsidRPr="008B4DA8" w:rsidRDefault="00C25C7D" w:rsidP="00360FB0">
      <w:pPr>
        <w:pStyle w:val="BodyText"/>
        <w:jc w:val="both"/>
        <w:rPr>
          <w:rFonts w:cs="Arial"/>
          <w:i w:val="0"/>
          <w:sz w:val="20"/>
        </w:rPr>
      </w:pPr>
    </w:p>
    <w:p w14:paraId="7125E38B" w14:textId="77777777" w:rsidR="00C25C7D" w:rsidRPr="00B3381F" w:rsidRDefault="00C25C7D" w:rsidP="00B3381F">
      <w:pPr>
        <w:rPr>
          <w:b/>
          <w:sz w:val="22"/>
        </w:rPr>
      </w:pPr>
      <w:r w:rsidRPr="00B3381F">
        <w:rPr>
          <w:b/>
          <w:sz w:val="22"/>
        </w:rPr>
        <w:t>3.</w:t>
      </w:r>
      <w:r w:rsidRPr="00B3381F">
        <w:rPr>
          <w:b/>
          <w:sz w:val="22"/>
        </w:rPr>
        <w:tab/>
        <w:t>RATIONALE: THE LOCAL AND NATIONAL CONTEXT</w:t>
      </w:r>
    </w:p>
    <w:p w14:paraId="5597487A" w14:textId="77777777" w:rsidR="00C25C7D" w:rsidRPr="008B4DA8" w:rsidRDefault="00C25C7D" w:rsidP="00360FB0">
      <w:pPr>
        <w:jc w:val="both"/>
        <w:rPr>
          <w:rFonts w:cs="Arial"/>
          <w:b/>
          <w:sz w:val="20"/>
        </w:rPr>
      </w:pPr>
    </w:p>
    <w:p w14:paraId="27C44943" w14:textId="77777777" w:rsidR="00C25C7D" w:rsidRPr="008B4DA8" w:rsidRDefault="00C25C7D" w:rsidP="00360FB0">
      <w:pPr>
        <w:pStyle w:val="BodyText"/>
        <w:jc w:val="both"/>
        <w:rPr>
          <w:rFonts w:cs="Arial"/>
          <w:i w:val="0"/>
          <w:sz w:val="20"/>
        </w:rPr>
      </w:pPr>
      <w:r w:rsidRPr="008B4DA8">
        <w:rPr>
          <w:rFonts w:cs="Arial"/>
          <w:i w:val="0"/>
          <w:sz w:val="20"/>
        </w:rPr>
        <w:t>In 2005 the National Youth Agency’s Education and Standards Committee announced its intention to initiate a process of transition from professional qualification at Diploma in Higher Education level to professional qualification at Honours Degree level. Since 2010 Students embarking upon professional qualifications in youth and community work have been required to complete honours degrees. The University of Huddersfield moved its pre-service provision to a f</w:t>
      </w:r>
      <w:r w:rsidR="00A519A3">
        <w:rPr>
          <w:rFonts w:cs="Arial"/>
          <w:i w:val="0"/>
          <w:sz w:val="20"/>
        </w:rPr>
        <w:t xml:space="preserve">ull honours degree in 2005 and </w:t>
      </w:r>
      <w:r w:rsidRPr="008B4DA8">
        <w:rPr>
          <w:rFonts w:cs="Arial"/>
          <w:i w:val="0"/>
          <w:sz w:val="20"/>
        </w:rPr>
        <w:t>its course was revalidated (with no conditions) by the National Youth Agency in 2011 for the period September 2011- August 2016.</w:t>
      </w:r>
    </w:p>
    <w:p w14:paraId="303B5A1F" w14:textId="77777777" w:rsidR="00C25C7D" w:rsidRPr="008B4DA8" w:rsidRDefault="00C25C7D" w:rsidP="00360FB0">
      <w:pPr>
        <w:pStyle w:val="BodyText"/>
        <w:jc w:val="both"/>
        <w:rPr>
          <w:rFonts w:cs="Arial"/>
          <w:i w:val="0"/>
          <w:sz w:val="20"/>
        </w:rPr>
      </w:pPr>
    </w:p>
    <w:p w14:paraId="6FFD1560" w14:textId="77777777" w:rsidR="00C25C7D" w:rsidRPr="008B4DA8" w:rsidRDefault="00C25C7D" w:rsidP="00360FB0">
      <w:pPr>
        <w:pStyle w:val="BodyText"/>
        <w:jc w:val="both"/>
        <w:rPr>
          <w:rFonts w:cs="Arial"/>
          <w:i w:val="0"/>
          <w:sz w:val="20"/>
        </w:rPr>
      </w:pPr>
      <w:r w:rsidRPr="008B4DA8">
        <w:rPr>
          <w:rFonts w:cs="Arial"/>
          <w:i w:val="0"/>
          <w:sz w:val="20"/>
        </w:rPr>
        <w:t xml:space="preserve">The move to offering a full degree in 2005 was made following consultation with employers (including youth services, voluntary organisations and other agencies employing youth and community workers) across the region through the mechanisms provided by the Course Committee. Since 2005, the course has provided workplace placements in each of its three years. </w:t>
      </w:r>
    </w:p>
    <w:p w14:paraId="5B29F3F7" w14:textId="77777777" w:rsidR="00C25C7D" w:rsidRPr="008B4DA8" w:rsidRDefault="00C25C7D" w:rsidP="00360FB0">
      <w:pPr>
        <w:pStyle w:val="BodyText"/>
        <w:jc w:val="both"/>
        <w:rPr>
          <w:rFonts w:cs="Arial"/>
          <w:i w:val="0"/>
          <w:sz w:val="20"/>
        </w:rPr>
      </w:pPr>
    </w:p>
    <w:p w14:paraId="738140BD" w14:textId="77777777" w:rsidR="00C25C7D" w:rsidRPr="008B4DA8" w:rsidRDefault="00C25C7D" w:rsidP="00360FB0">
      <w:pPr>
        <w:pStyle w:val="BodyText"/>
        <w:jc w:val="both"/>
        <w:rPr>
          <w:rFonts w:cs="Arial"/>
          <w:i w:val="0"/>
          <w:sz w:val="20"/>
        </w:rPr>
      </w:pPr>
      <w:r w:rsidRPr="008B4DA8">
        <w:rPr>
          <w:rFonts w:cs="Arial"/>
          <w:i w:val="0"/>
          <w:sz w:val="20"/>
        </w:rPr>
        <w:t>In 2010 the BA</w:t>
      </w:r>
      <w:r w:rsidR="00A519A3">
        <w:rPr>
          <w:rFonts w:cs="Arial"/>
          <w:i w:val="0"/>
          <w:sz w:val="20"/>
        </w:rPr>
        <w:t xml:space="preserve"> </w:t>
      </w:r>
      <w:r w:rsidRPr="008B4DA8">
        <w:rPr>
          <w:rFonts w:cs="Arial"/>
          <w:i w:val="0"/>
          <w:sz w:val="20"/>
        </w:rPr>
        <w:t>(Hons) Youth and Community Work In-Service was validated with a new 90-credits per year format enabling students to attend part-time and to achieve honours degrees in four years. The BA</w:t>
      </w:r>
      <w:r w:rsidR="00A519A3">
        <w:rPr>
          <w:rFonts w:cs="Arial"/>
          <w:i w:val="0"/>
          <w:sz w:val="20"/>
        </w:rPr>
        <w:t xml:space="preserve"> </w:t>
      </w:r>
      <w:r w:rsidRPr="008B4DA8">
        <w:rPr>
          <w:rFonts w:cs="Arial"/>
          <w:i w:val="0"/>
          <w:sz w:val="20"/>
        </w:rPr>
        <w:t xml:space="preserve">(Hons) Youth and Community Work builds on this format. Students were consulted and responded positively to the idea of 30-credit modules. The staff team worked together with other undergraduate programmes to ensure maximum compatibility within the undergraduate framework. </w:t>
      </w:r>
    </w:p>
    <w:p w14:paraId="409D9616" w14:textId="77777777" w:rsidR="00C25C7D" w:rsidRPr="008B4DA8" w:rsidRDefault="00C25C7D" w:rsidP="00360FB0">
      <w:pPr>
        <w:pStyle w:val="BodyText"/>
        <w:jc w:val="both"/>
        <w:rPr>
          <w:rFonts w:cs="Arial"/>
          <w:i w:val="0"/>
          <w:sz w:val="20"/>
        </w:rPr>
      </w:pPr>
    </w:p>
    <w:p w14:paraId="7893948B" w14:textId="77777777" w:rsidR="00C25C7D" w:rsidRPr="008B4DA8" w:rsidRDefault="00C25C7D" w:rsidP="00360FB0">
      <w:pPr>
        <w:pStyle w:val="BodyText"/>
        <w:jc w:val="both"/>
        <w:rPr>
          <w:rFonts w:cs="Arial"/>
          <w:i w:val="0"/>
          <w:sz w:val="20"/>
        </w:rPr>
      </w:pPr>
    </w:p>
    <w:p w14:paraId="50B68E6F" w14:textId="77777777" w:rsidR="00C25C7D" w:rsidRPr="00B3381F" w:rsidRDefault="00C25C7D" w:rsidP="00B3381F">
      <w:pPr>
        <w:rPr>
          <w:b/>
          <w:sz w:val="22"/>
        </w:rPr>
      </w:pPr>
      <w:r w:rsidRPr="00B3381F">
        <w:rPr>
          <w:b/>
          <w:sz w:val="22"/>
        </w:rPr>
        <w:t>4.</w:t>
      </w:r>
      <w:r w:rsidRPr="00B3381F">
        <w:rPr>
          <w:b/>
          <w:sz w:val="22"/>
        </w:rPr>
        <w:tab/>
        <w:t>Market Position</w:t>
      </w:r>
    </w:p>
    <w:p w14:paraId="06830E92" w14:textId="77777777" w:rsidR="00C25C7D" w:rsidRPr="008B4DA8" w:rsidRDefault="00C25C7D" w:rsidP="00360FB0">
      <w:pPr>
        <w:jc w:val="both"/>
        <w:rPr>
          <w:rFonts w:cs="Arial"/>
          <w:b/>
          <w:sz w:val="20"/>
        </w:rPr>
      </w:pPr>
    </w:p>
    <w:p w14:paraId="6CD2AD23" w14:textId="77777777" w:rsidR="00C25C7D" w:rsidRPr="008B4DA8" w:rsidRDefault="00C25C7D" w:rsidP="00360FB0">
      <w:pPr>
        <w:pStyle w:val="BodyText"/>
        <w:jc w:val="both"/>
        <w:rPr>
          <w:rFonts w:cs="Arial"/>
          <w:i w:val="0"/>
          <w:sz w:val="20"/>
        </w:rPr>
      </w:pPr>
      <w:r w:rsidRPr="008B4DA8">
        <w:rPr>
          <w:rFonts w:cs="Arial"/>
          <w:i w:val="0"/>
          <w:sz w:val="20"/>
        </w:rPr>
        <w:t xml:space="preserve">The degree is well-established under the title of BA (Hons) Youth and Community Work and appears in UCAS and other literature as such. For several years, the course experienced an annual increase in applications from school leavers alongside the traditional market of predominantly mature non-traditional Students from the region. For several years running the course was categorised as ‘Satisfactory with Distinction’ by the National Youth Agency following its annual monitoring. The introduction of an electronic format saw the end of grades being identified and circulated. Nonetheless the course continues to have an excellent reputation across the region. </w:t>
      </w:r>
    </w:p>
    <w:p w14:paraId="6948F719" w14:textId="77777777" w:rsidR="00C25C7D" w:rsidRPr="008B4DA8" w:rsidRDefault="00C25C7D" w:rsidP="00360FB0">
      <w:pPr>
        <w:pStyle w:val="BodyText"/>
        <w:jc w:val="both"/>
        <w:rPr>
          <w:rFonts w:cs="Arial"/>
          <w:sz w:val="20"/>
        </w:rPr>
      </w:pPr>
    </w:p>
    <w:p w14:paraId="2F3C5CC4" w14:textId="77777777" w:rsidR="00C25C7D" w:rsidRPr="008B4DA8" w:rsidRDefault="00C25C7D" w:rsidP="00360FB0">
      <w:pPr>
        <w:pStyle w:val="BodyText"/>
        <w:jc w:val="both"/>
        <w:rPr>
          <w:rFonts w:cs="Arial"/>
          <w:i w:val="0"/>
          <w:sz w:val="20"/>
        </w:rPr>
      </w:pPr>
      <w:r w:rsidRPr="008B4DA8">
        <w:rPr>
          <w:rFonts w:cs="Arial"/>
          <w:i w:val="0"/>
          <w:sz w:val="20"/>
        </w:rPr>
        <w:lastRenderedPageBreak/>
        <w:t xml:space="preserve">Full-time Students come both from the travel-to-study area (from Oldham and Rochdale to York and Keighley to Doncaster and Sheffield) and from further afield. Younger Students have moved to Huddersfield to study from Scotland, Northern Ireland and Wales as well as from across England. The course receives enquiries from students across the Commonwealth who have completed the Commonwealth Youth Programme’s Diploma in Youth in Development: it is a programme which welcomes overseas students. </w:t>
      </w:r>
    </w:p>
    <w:p w14:paraId="39BF8725" w14:textId="77777777" w:rsidR="00C25C7D" w:rsidRPr="008B4DA8" w:rsidRDefault="00C25C7D" w:rsidP="00360FB0">
      <w:pPr>
        <w:pStyle w:val="BodyText"/>
        <w:jc w:val="both"/>
        <w:rPr>
          <w:rFonts w:cs="Arial"/>
          <w:i w:val="0"/>
          <w:sz w:val="20"/>
        </w:rPr>
      </w:pPr>
    </w:p>
    <w:p w14:paraId="03B07C46" w14:textId="77777777" w:rsidR="00C25C7D" w:rsidRPr="008B4DA8" w:rsidRDefault="00C25C7D" w:rsidP="00360FB0">
      <w:pPr>
        <w:pStyle w:val="BodyText"/>
        <w:jc w:val="both"/>
        <w:rPr>
          <w:rFonts w:cs="Arial"/>
          <w:i w:val="0"/>
          <w:sz w:val="20"/>
        </w:rPr>
      </w:pPr>
      <w:r w:rsidRPr="008B4DA8">
        <w:rPr>
          <w:rFonts w:cs="Arial"/>
          <w:i w:val="0"/>
          <w:sz w:val="20"/>
        </w:rPr>
        <w:t xml:space="preserve">Youth and Community Work is a publicly funded service which </w:t>
      </w:r>
      <w:r w:rsidR="00A519A3">
        <w:rPr>
          <w:rFonts w:cs="Arial"/>
          <w:i w:val="0"/>
          <w:sz w:val="20"/>
        </w:rPr>
        <w:t>has been</w:t>
      </w:r>
      <w:r w:rsidR="00A519A3" w:rsidRPr="008B4DA8">
        <w:rPr>
          <w:rFonts w:cs="Arial"/>
          <w:i w:val="0"/>
          <w:sz w:val="20"/>
        </w:rPr>
        <w:t xml:space="preserve"> </w:t>
      </w:r>
      <w:r w:rsidRPr="008B4DA8">
        <w:rPr>
          <w:rFonts w:cs="Arial"/>
          <w:i w:val="0"/>
          <w:sz w:val="20"/>
        </w:rPr>
        <w:t>seriously affected by cuts to local authorities and third sector organisations. However many students are going on placement with alternative organisations working with young people and communities.</w:t>
      </w:r>
      <w:r w:rsidR="00A519A3">
        <w:rPr>
          <w:rFonts w:cs="Arial"/>
          <w:i w:val="0"/>
          <w:sz w:val="20"/>
        </w:rPr>
        <w:t xml:space="preserve"> With regard to employability, </w:t>
      </w:r>
      <w:r w:rsidRPr="008B4DA8">
        <w:rPr>
          <w:rFonts w:cs="Arial"/>
          <w:i w:val="0"/>
          <w:sz w:val="20"/>
        </w:rPr>
        <w:t>the transferable skills which form the core of the BA remain attractive to employers</w:t>
      </w:r>
      <w:r w:rsidR="00A519A3">
        <w:rPr>
          <w:rFonts w:cs="Arial"/>
          <w:i w:val="0"/>
          <w:sz w:val="20"/>
        </w:rPr>
        <w:t xml:space="preserve"> from a wide range of agencies. </w:t>
      </w:r>
      <w:r w:rsidRPr="008B4DA8">
        <w:rPr>
          <w:rFonts w:cs="Arial"/>
          <w:i w:val="0"/>
          <w:sz w:val="20"/>
        </w:rPr>
        <w:t xml:space="preserve">The embedding of professional status within the BA provides a good opportunity for students to secure two qualifications within their period of undergraduate study (without being subject to additional fees). </w:t>
      </w:r>
    </w:p>
    <w:p w14:paraId="249C3723" w14:textId="77777777" w:rsidR="00C25C7D" w:rsidRPr="008B4DA8" w:rsidRDefault="00C25C7D" w:rsidP="00360FB0">
      <w:pPr>
        <w:pStyle w:val="BodyText"/>
        <w:jc w:val="both"/>
        <w:rPr>
          <w:rFonts w:cs="Arial"/>
          <w:b/>
          <w:i w:val="0"/>
          <w:sz w:val="20"/>
        </w:rPr>
      </w:pPr>
    </w:p>
    <w:p w14:paraId="17FC0BEA" w14:textId="733F7A43" w:rsidR="00C25C7D" w:rsidRDefault="00C25C7D" w:rsidP="00360FB0">
      <w:pPr>
        <w:pStyle w:val="BodyText"/>
        <w:jc w:val="both"/>
        <w:rPr>
          <w:rFonts w:cs="Arial"/>
          <w:i w:val="0"/>
          <w:sz w:val="20"/>
        </w:rPr>
      </w:pPr>
      <w:r w:rsidRPr="008B4DA8">
        <w:rPr>
          <w:rFonts w:cs="Arial"/>
          <w:i w:val="0"/>
          <w:sz w:val="20"/>
        </w:rPr>
        <w:t xml:space="preserve">With regard to the part-time In-Service route, our ability to continue to offer the relevant professionally validated undergraduate qualification to in-service staff is an important part of our partnership with the field in our ‘local’ area. This partnership has been built over many years and ensures that the course has a strong Course Committee that is attended by a range of professionals from many partner organisations. The partnership has also involved course staff actively supporting the profession’s development through a number of organisations: the regional Work Force Development Groups in both the Yorkshire and Humber region and in the North West region; the management group of the Youth Association based in Wakefield and other steering and advisory groups. </w:t>
      </w:r>
      <w:r w:rsidR="001E4E13">
        <w:rPr>
          <w:rFonts w:cs="Arial"/>
          <w:i w:val="0"/>
          <w:sz w:val="20"/>
        </w:rPr>
        <w:t xml:space="preserve">Professionals from the field are invited to deliver guest presentations particularly as part of fieldwork modules. </w:t>
      </w:r>
      <w:r w:rsidRPr="008B4DA8">
        <w:rPr>
          <w:rFonts w:cs="Arial"/>
          <w:i w:val="0"/>
          <w:sz w:val="20"/>
        </w:rPr>
        <w:t xml:space="preserve">This professional involvement has ensured that teaching staff are up to date with all issues that are affecting the training of professionals within the field and has also ensured the easy networking within the regions. </w:t>
      </w:r>
    </w:p>
    <w:p w14:paraId="65423F2B" w14:textId="77777777" w:rsidR="00B3381F" w:rsidRPr="008B4DA8" w:rsidRDefault="00B3381F" w:rsidP="00360FB0">
      <w:pPr>
        <w:pStyle w:val="BodyText"/>
        <w:jc w:val="both"/>
        <w:rPr>
          <w:rFonts w:cs="Arial"/>
          <w:i w:val="0"/>
          <w:sz w:val="20"/>
        </w:rPr>
      </w:pPr>
    </w:p>
    <w:p w14:paraId="3B61CD73" w14:textId="77777777" w:rsidR="00C25C7D" w:rsidRPr="00B3381F" w:rsidRDefault="00C25C7D" w:rsidP="00B3381F">
      <w:pPr>
        <w:rPr>
          <w:b/>
          <w:sz w:val="22"/>
        </w:rPr>
      </w:pPr>
      <w:r w:rsidRPr="00B3381F">
        <w:rPr>
          <w:b/>
          <w:sz w:val="22"/>
        </w:rPr>
        <w:t>5.</w:t>
      </w:r>
      <w:r w:rsidRPr="00B3381F">
        <w:rPr>
          <w:b/>
          <w:sz w:val="22"/>
        </w:rPr>
        <w:tab/>
        <w:t>Course Structure and Delivery</w:t>
      </w:r>
    </w:p>
    <w:p w14:paraId="32138C85" w14:textId="77777777" w:rsidR="00C25C7D" w:rsidRPr="008B4DA8" w:rsidRDefault="00C25C7D" w:rsidP="00360FB0">
      <w:pPr>
        <w:jc w:val="both"/>
        <w:rPr>
          <w:rFonts w:cs="Arial"/>
          <w:sz w:val="20"/>
        </w:rPr>
      </w:pPr>
    </w:p>
    <w:p w14:paraId="330298B1" w14:textId="77777777" w:rsidR="00C25C7D" w:rsidRPr="008B4DA8" w:rsidRDefault="00C25C7D" w:rsidP="00360FB0">
      <w:pPr>
        <w:pStyle w:val="BodyText"/>
        <w:jc w:val="both"/>
        <w:rPr>
          <w:rFonts w:cs="Arial"/>
          <w:i w:val="0"/>
          <w:sz w:val="20"/>
        </w:rPr>
      </w:pPr>
      <w:r w:rsidRPr="008B4DA8">
        <w:rPr>
          <w:rFonts w:cs="Arial"/>
          <w:i w:val="0"/>
          <w:sz w:val="20"/>
        </w:rPr>
        <w:t xml:space="preserve">The BA (Hons) YCW is built on a strong commitment to the furthering equality of opportunity and outcome, both for Students themselves and for the people with whom they work both during their studies and in the longer term. The primary orientation of the Course reflects its location in the School of Education and Professional Development: youth and community work is identified essentially as an educational activity. The vision is founded on Schön’s work (1983, 1987) on the development of professional reflexivity and is also situated within </w:t>
      </w:r>
      <w:proofErr w:type="spellStart"/>
      <w:r w:rsidRPr="008B4DA8">
        <w:rPr>
          <w:rFonts w:cs="Arial"/>
          <w:i w:val="0"/>
          <w:sz w:val="20"/>
        </w:rPr>
        <w:t>Eraut’s</w:t>
      </w:r>
      <w:proofErr w:type="spellEnd"/>
      <w:r w:rsidRPr="008B4DA8">
        <w:rPr>
          <w:rFonts w:cs="Arial"/>
          <w:i w:val="0"/>
          <w:sz w:val="20"/>
        </w:rPr>
        <w:t xml:space="preserve"> (1994) interpretation of Dreyfus and Dreyfus’s model of skills acquisition. Thus Students are nurtured through a continuum which encompasses their development from novice practitioners, through competence to proficiency and, at the highest level, intuitive expertise.</w:t>
      </w:r>
    </w:p>
    <w:p w14:paraId="05A897FE" w14:textId="77777777" w:rsidR="00C25C7D" w:rsidRPr="008B4DA8" w:rsidRDefault="00C25C7D" w:rsidP="00360FB0">
      <w:pPr>
        <w:jc w:val="both"/>
        <w:rPr>
          <w:rFonts w:cs="Arial"/>
          <w:sz w:val="20"/>
        </w:rPr>
      </w:pPr>
    </w:p>
    <w:p w14:paraId="2FDBAF03" w14:textId="77777777" w:rsidR="00C25C7D" w:rsidRPr="008B4DA8" w:rsidRDefault="00360FB0" w:rsidP="00360FB0">
      <w:pPr>
        <w:jc w:val="both"/>
        <w:rPr>
          <w:rFonts w:cs="Arial"/>
          <w:sz w:val="20"/>
        </w:rPr>
      </w:pPr>
      <w:r>
        <w:rPr>
          <w:rFonts w:cs="Arial"/>
          <w:sz w:val="20"/>
        </w:rPr>
        <w:t>Staff facilitate s</w:t>
      </w:r>
      <w:r w:rsidR="00C25C7D" w:rsidRPr="008B4DA8">
        <w:rPr>
          <w:rFonts w:cs="Arial"/>
          <w:sz w:val="20"/>
        </w:rPr>
        <w:t xml:space="preserve">tudents’ engagement in dialogue and critical reflexivity with, as the starting point, their existing values, assumptions, cultures, life experience, perspectives and practice. The curriculum draws on a wide range of intellectual resources and theoretical perspectives in order to interrogate and extend practice. Throughout its life, the philosophy underpinning the Course has remained consistently located within an informal education framework whilst the Course has developed and evolved in order to ensure it remains at the forefront of contemporaneous knowledge and practice and responds to policy initiatives within the YCW field. Modules have been designed to ensure Students not only engage with the National Occupational Standards for youth work but also achieve intellectual confidence in the critical analysis of concepts commensurate with degree-level study. </w:t>
      </w:r>
    </w:p>
    <w:p w14:paraId="19D5C15C" w14:textId="77777777" w:rsidR="00C25C7D" w:rsidRPr="008B4DA8" w:rsidRDefault="00C25C7D" w:rsidP="00360FB0">
      <w:pPr>
        <w:jc w:val="both"/>
        <w:rPr>
          <w:rFonts w:cs="Arial"/>
          <w:sz w:val="20"/>
        </w:rPr>
      </w:pPr>
    </w:p>
    <w:p w14:paraId="3867B3E6" w14:textId="77777777" w:rsidR="00C25C7D" w:rsidRPr="008B4DA8" w:rsidRDefault="00C25C7D" w:rsidP="00360FB0">
      <w:pPr>
        <w:jc w:val="both"/>
        <w:rPr>
          <w:rFonts w:cs="Arial"/>
          <w:sz w:val="20"/>
        </w:rPr>
      </w:pPr>
      <w:r w:rsidRPr="008B4DA8">
        <w:rPr>
          <w:rFonts w:cs="Arial"/>
          <w:sz w:val="20"/>
        </w:rPr>
        <w:t xml:space="preserve">This has resulted in the creation and retention of a nexus which presents an ongoing dynamic interplay between </w:t>
      </w:r>
      <w:r w:rsidR="00C74C4C">
        <w:rPr>
          <w:rFonts w:cs="Arial"/>
          <w:sz w:val="20"/>
        </w:rPr>
        <w:t>practice-based</w:t>
      </w:r>
      <w:r w:rsidRPr="008B4DA8">
        <w:rPr>
          <w:rFonts w:cs="Arial"/>
          <w:sz w:val="20"/>
        </w:rPr>
        <w:t xml:space="preserve"> study, underpinning theory and professional techniques and knowledge. The following diagram illustrates the relationship operating within the BA (Hons) YCW. Each horizontal line represents a year of study and sample modules have been included to demonstrate its application.</w:t>
      </w:r>
    </w:p>
    <w:p w14:paraId="7D6D5159" w14:textId="77777777" w:rsidR="00C25C7D" w:rsidRPr="008B4DA8" w:rsidRDefault="00C25C7D" w:rsidP="00360FB0">
      <w:pPr>
        <w:jc w:val="both"/>
        <w:rPr>
          <w:rFonts w:cs="Arial"/>
          <w:sz w:val="20"/>
        </w:rPr>
      </w:pPr>
    </w:p>
    <w:p w14:paraId="65D6B885" w14:textId="77777777" w:rsidR="00C25C7D" w:rsidRPr="008B4DA8" w:rsidRDefault="00C25C7D" w:rsidP="00360FB0">
      <w:pPr>
        <w:jc w:val="both"/>
        <w:rPr>
          <w:rFonts w:cs="Arial"/>
          <w:color w:val="FF0000"/>
          <w:sz w:val="20"/>
        </w:rPr>
      </w:pPr>
      <w:r w:rsidRPr="008B4DA8">
        <w:rPr>
          <w:rFonts w:cs="Arial"/>
          <w:sz w:val="20"/>
        </w:rPr>
        <w:t xml:space="preserve">At each level, the </w:t>
      </w:r>
      <w:r w:rsidR="00C74C4C">
        <w:rPr>
          <w:rFonts w:cs="Arial"/>
          <w:sz w:val="20"/>
        </w:rPr>
        <w:t>practice-based</w:t>
      </w:r>
      <w:r w:rsidRPr="008B4DA8">
        <w:rPr>
          <w:rFonts w:cs="Arial"/>
          <w:sz w:val="20"/>
        </w:rPr>
        <w:t xml:space="preserve"> modules require students to undertake professional roles within their work, to reflect on their experiences and to evidence the integration of their learning and their professional development. The work placement also allows students to take their learning from the more theoretical modules into a real world situation thus providing students with opportunities to try and test out theories encountered in the academic setting. Learning outcomes in the work-based modules require students to make links between theories and models encountered within all of the modules to their work and learning within the work place. </w:t>
      </w:r>
    </w:p>
    <w:p w14:paraId="7971A373" w14:textId="77777777" w:rsidR="00C25C7D" w:rsidRPr="008B4DA8" w:rsidRDefault="00C25C7D" w:rsidP="00360FB0">
      <w:pPr>
        <w:jc w:val="both"/>
        <w:rPr>
          <w:rFonts w:cs="Arial"/>
          <w:color w:val="FF6600"/>
          <w:sz w:val="20"/>
        </w:rPr>
      </w:pPr>
    </w:p>
    <w:p w14:paraId="17986A84" w14:textId="77777777" w:rsidR="00C25C7D" w:rsidRPr="008B4DA8" w:rsidRDefault="00C25C7D" w:rsidP="00360FB0">
      <w:pPr>
        <w:jc w:val="both"/>
        <w:rPr>
          <w:rFonts w:cs="Arial"/>
          <w:b/>
          <w:sz w:val="20"/>
        </w:rPr>
      </w:pPr>
      <w:r w:rsidRPr="008B4DA8">
        <w:rPr>
          <w:rFonts w:cs="Arial"/>
          <w:sz w:val="20"/>
        </w:rPr>
        <w:t>The following diagram illustrates the relationship operating within the BA (Hons) YCW. Each horizontal line represents a level of study.</w:t>
      </w:r>
      <w:r w:rsidRPr="008B4DA8">
        <w:rPr>
          <w:rFonts w:cs="Arial"/>
          <w:b/>
          <w:sz w:val="20"/>
        </w:rPr>
        <w:t xml:space="preserve"> </w:t>
      </w:r>
      <w:r w:rsidRPr="008B4DA8">
        <w:rPr>
          <w:rFonts w:cs="Arial"/>
          <w:sz w:val="20"/>
        </w:rPr>
        <w:t xml:space="preserve">Some module names have been included as an illustration of the dynamic interface between practice, theory and professional techniques and knowledge. </w:t>
      </w:r>
    </w:p>
    <w:p w14:paraId="4D3B079E" w14:textId="77777777" w:rsidR="00C25C7D" w:rsidRPr="008B4DA8" w:rsidRDefault="00C25C7D" w:rsidP="00360FB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8"/>
        <w:gridCol w:w="2504"/>
        <w:gridCol w:w="2504"/>
        <w:gridCol w:w="2505"/>
      </w:tblGrid>
      <w:tr w:rsidR="00C25C7D" w:rsidRPr="008B4DA8" w14:paraId="42735102" w14:textId="77777777">
        <w:tc>
          <w:tcPr>
            <w:tcW w:w="1418" w:type="dxa"/>
          </w:tcPr>
          <w:p w14:paraId="6CA0250B" w14:textId="77777777" w:rsidR="00C25C7D" w:rsidRPr="008B4DA8" w:rsidRDefault="00C25C7D" w:rsidP="00360FB0">
            <w:pPr>
              <w:jc w:val="both"/>
              <w:rPr>
                <w:sz w:val="20"/>
              </w:rPr>
            </w:pPr>
          </w:p>
        </w:tc>
        <w:tc>
          <w:tcPr>
            <w:tcW w:w="2504" w:type="dxa"/>
          </w:tcPr>
          <w:p w14:paraId="56B9FF5F" w14:textId="77777777" w:rsidR="00C25C7D" w:rsidRPr="008B4DA8" w:rsidRDefault="00C25C7D" w:rsidP="00360FB0">
            <w:pPr>
              <w:jc w:val="both"/>
              <w:rPr>
                <w:b/>
                <w:sz w:val="20"/>
              </w:rPr>
            </w:pPr>
            <w:r w:rsidRPr="008B4DA8">
              <w:rPr>
                <w:b/>
                <w:sz w:val="20"/>
              </w:rPr>
              <w:t>Professional Techniques and Knowledge</w:t>
            </w:r>
          </w:p>
        </w:tc>
        <w:tc>
          <w:tcPr>
            <w:tcW w:w="2504" w:type="dxa"/>
          </w:tcPr>
          <w:p w14:paraId="3886BA67" w14:textId="77777777" w:rsidR="00C25C7D" w:rsidRPr="008B4DA8" w:rsidRDefault="00C25C7D" w:rsidP="00360FB0">
            <w:pPr>
              <w:jc w:val="both"/>
              <w:rPr>
                <w:b/>
                <w:sz w:val="20"/>
              </w:rPr>
            </w:pPr>
            <w:r w:rsidRPr="008B4DA8">
              <w:rPr>
                <w:b/>
                <w:sz w:val="20"/>
              </w:rPr>
              <w:t xml:space="preserve">Practice / Work place </w:t>
            </w:r>
          </w:p>
        </w:tc>
        <w:tc>
          <w:tcPr>
            <w:tcW w:w="2505" w:type="dxa"/>
          </w:tcPr>
          <w:p w14:paraId="23A9C18F" w14:textId="77777777" w:rsidR="00C25C7D" w:rsidRPr="008B4DA8" w:rsidRDefault="00C25C7D" w:rsidP="00360FB0">
            <w:pPr>
              <w:jc w:val="both"/>
              <w:rPr>
                <w:b/>
                <w:sz w:val="20"/>
              </w:rPr>
            </w:pPr>
            <w:r w:rsidRPr="008B4DA8">
              <w:rPr>
                <w:b/>
                <w:sz w:val="20"/>
              </w:rPr>
              <w:t>Underpinning Theory</w:t>
            </w:r>
          </w:p>
        </w:tc>
      </w:tr>
      <w:tr w:rsidR="00C25C7D" w:rsidRPr="008B4DA8" w14:paraId="528AB711" w14:textId="77777777">
        <w:tc>
          <w:tcPr>
            <w:tcW w:w="1418" w:type="dxa"/>
          </w:tcPr>
          <w:p w14:paraId="5CF78D32" w14:textId="77777777" w:rsidR="00C25C7D" w:rsidRPr="008B4DA8" w:rsidRDefault="00C25C7D" w:rsidP="00360FB0">
            <w:pPr>
              <w:jc w:val="both"/>
              <w:rPr>
                <w:b/>
                <w:sz w:val="20"/>
              </w:rPr>
            </w:pPr>
            <w:r w:rsidRPr="008B4DA8">
              <w:rPr>
                <w:b/>
                <w:sz w:val="20"/>
              </w:rPr>
              <w:t xml:space="preserve">Honours Level </w:t>
            </w:r>
          </w:p>
        </w:tc>
        <w:tc>
          <w:tcPr>
            <w:tcW w:w="2504" w:type="dxa"/>
          </w:tcPr>
          <w:p w14:paraId="1FF09E58" w14:textId="77777777" w:rsidR="00C25C7D" w:rsidRPr="008B4DA8" w:rsidRDefault="00C25C7D" w:rsidP="00BC6421">
            <w:pPr>
              <w:numPr>
                <w:ilvl w:val="0"/>
                <w:numId w:val="13"/>
              </w:numPr>
              <w:jc w:val="both"/>
              <w:rPr>
                <w:sz w:val="20"/>
              </w:rPr>
            </w:pPr>
            <w:r w:rsidRPr="008B4DA8">
              <w:rPr>
                <w:sz w:val="20"/>
              </w:rPr>
              <w:t>Leadership and Management in Professional Contexts</w:t>
            </w:r>
          </w:p>
        </w:tc>
        <w:tc>
          <w:tcPr>
            <w:tcW w:w="2504" w:type="dxa"/>
          </w:tcPr>
          <w:p w14:paraId="6CF74E03" w14:textId="77777777" w:rsidR="00C25C7D" w:rsidRPr="008B4DA8" w:rsidRDefault="00C25C7D" w:rsidP="00BC6421">
            <w:pPr>
              <w:numPr>
                <w:ilvl w:val="0"/>
                <w:numId w:val="13"/>
              </w:numPr>
              <w:jc w:val="both"/>
              <w:rPr>
                <w:sz w:val="20"/>
              </w:rPr>
            </w:pPr>
            <w:r w:rsidRPr="008B4DA8">
              <w:rPr>
                <w:sz w:val="20"/>
              </w:rPr>
              <w:t>Theorising Advanced Practice</w:t>
            </w:r>
          </w:p>
        </w:tc>
        <w:tc>
          <w:tcPr>
            <w:tcW w:w="2505" w:type="dxa"/>
          </w:tcPr>
          <w:p w14:paraId="6678C432" w14:textId="77777777" w:rsidR="00C25C7D" w:rsidRPr="008B4DA8" w:rsidRDefault="00C25C7D" w:rsidP="00BC6421">
            <w:pPr>
              <w:numPr>
                <w:ilvl w:val="0"/>
                <w:numId w:val="13"/>
              </w:numPr>
              <w:jc w:val="both"/>
              <w:rPr>
                <w:sz w:val="20"/>
              </w:rPr>
            </w:pPr>
            <w:r w:rsidRPr="008B4DA8">
              <w:rPr>
                <w:sz w:val="20"/>
              </w:rPr>
              <w:t>Major Study</w:t>
            </w:r>
          </w:p>
          <w:p w14:paraId="420B9CCA" w14:textId="77777777" w:rsidR="00C25C7D" w:rsidRPr="008B4DA8" w:rsidRDefault="00C25C7D" w:rsidP="00BC6421">
            <w:pPr>
              <w:numPr>
                <w:ilvl w:val="0"/>
                <w:numId w:val="13"/>
              </w:numPr>
              <w:jc w:val="both"/>
              <w:rPr>
                <w:sz w:val="20"/>
              </w:rPr>
            </w:pPr>
            <w:r w:rsidRPr="008B4DA8">
              <w:rPr>
                <w:sz w:val="20"/>
              </w:rPr>
              <w:t>Research Methodologies</w:t>
            </w:r>
          </w:p>
        </w:tc>
      </w:tr>
      <w:tr w:rsidR="00C25C7D" w:rsidRPr="008B4DA8" w14:paraId="3B6486D0" w14:textId="77777777">
        <w:tc>
          <w:tcPr>
            <w:tcW w:w="1418" w:type="dxa"/>
          </w:tcPr>
          <w:p w14:paraId="2E9DDE2B" w14:textId="77777777" w:rsidR="00C25C7D" w:rsidRPr="008B4DA8" w:rsidRDefault="00C25C7D" w:rsidP="00360FB0">
            <w:pPr>
              <w:jc w:val="both"/>
              <w:rPr>
                <w:b/>
                <w:sz w:val="20"/>
              </w:rPr>
            </w:pPr>
            <w:r w:rsidRPr="008B4DA8">
              <w:rPr>
                <w:b/>
                <w:sz w:val="20"/>
              </w:rPr>
              <w:t>Intermediate Level</w:t>
            </w:r>
          </w:p>
        </w:tc>
        <w:tc>
          <w:tcPr>
            <w:tcW w:w="2504" w:type="dxa"/>
          </w:tcPr>
          <w:p w14:paraId="7960ED09" w14:textId="77777777" w:rsidR="00C25C7D" w:rsidRPr="008B4DA8" w:rsidRDefault="00C25C7D" w:rsidP="00BC6421">
            <w:pPr>
              <w:numPr>
                <w:ilvl w:val="0"/>
                <w:numId w:val="13"/>
              </w:numPr>
              <w:jc w:val="both"/>
              <w:rPr>
                <w:sz w:val="20"/>
              </w:rPr>
            </w:pPr>
            <w:r w:rsidRPr="008B4DA8">
              <w:rPr>
                <w:rFonts w:cs="Arial"/>
                <w:sz w:val="20"/>
              </w:rPr>
              <w:t>People in Action: Work with Individuals and Groups</w:t>
            </w:r>
          </w:p>
        </w:tc>
        <w:tc>
          <w:tcPr>
            <w:tcW w:w="2504" w:type="dxa"/>
          </w:tcPr>
          <w:p w14:paraId="1672752C" w14:textId="77777777" w:rsidR="00C25C7D" w:rsidRPr="008B4DA8" w:rsidRDefault="00F53E6C" w:rsidP="00BC6421">
            <w:pPr>
              <w:numPr>
                <w:ilvl w:val="0"/>
                <w:numId w:val="13"/>
              </w:numPr>
              <w:jc w:val="both"/>
              <w:rPr>
                <w:sz w:val="20"/>
              </w:rPr>
            </w:pPr>
            <w:r>
              <w:rPr>
                <w:sz w:val="20"/>
              </w:rPr>
              <w:t>Working in Community Settings</w:t>
            </w:r>
          </w:p>
        </w:tc>
        <w:tc>
          <w:tcPr>
            <w:tcW w:w="2505" w:type="dxa"/>
          </w:tcPr>
          <w:p w14:paraId="4005D90C" w14:textId="77777777" w:rsidR="00C25C7D" w:rsidRPr="008B4DA8" w:rsidRDefault="00C25C7D" w:rsidP="00BC6421">
            <w:pPr>
              <w:numPr>
                <w:ilvl w:val="0"/>
                <w:numId w:val="13"/>
              </w:numPr>
              <w:jc w:val="both"/>
              <w:rPr>
                <w:sz w:val="20"/>
              </w:rPr>
            </w:pPr>
            <w:r w:rsidRPr="008B4DA8">
              <w:rPr>
                <w:rFonts w:cs="Arial"/>
                <w:sz w:val="20"/>
              </w:rPr>
              <w:t>Social Policy</w:t>
            </w:r>
            <w:r w:rsidR="00F2331D">
              <w:rPr>
                <w:rFonts w:cs="Arial"/>
                <w:sz w:val="20"/>
              </w:rPr>
              <w:t xml:space="preserve"> and </w:t>
            </w:r>
            <w:r w:rsidRPr="008B4DA8">
              <w:rPr>
                <w:rFonts w:cs="Arial"/>
                <w:sz w:val="20"/>
              </w:rPr>
              <w:t xml:space="preserve">Inclusion </w:t>
            </w:r>
          </w:p>
        </w:tc>
      </w:tr>
      <w:tr w:rsidR="00C25C7D" w:rsidRPr="008B4DA8" w14:paraId="4EBD8C74" w14:textId="77777777">
        <w:tc>
          <w:tcPr>
            <w:tcW w:w="1418" w:type="dxa"/>
          </w:tcPr>
          <w:p w14:paraId="1A94B128" w14:textId="77777777" w:rsidR="00C25C7D" w:rsidRPr="008B4DA8" w:rsidRDefault="00C25C7D" w:rsidP="00360FB0">
            <w:pPr>
              <w:jc w:val="both"/>
              <w:rPr>
                <w:b/>
                <w:sz w:val="20"/>
              </w:rPr>
            </w:pPr>
            <w:r w:rsidRPr="008B4DA8">
              <w:rPr>
                <w:b/>
                <w:sz w:val="20"/>
              </w:rPr>
              <w:t xml:space="preserve">Foundation Level </w:t>
            </w:r>
          </w:p>
        </w:tc>
        <w:tc>
          <w:tcPr>
            <w:tcW w:w="2504" w:type="dxa"/>
          </w:tcPr>
          <w:p w14:paraId="555D0BF8" w14:textId="77777777" w:rsidR="00C25C7D" w:rsidRPr="008B4DA8" w:rsidRDefault="00C25C7D" w:rsidP="00BC6421">
            <w:pPr>
              <w:numPr>
                <w:ilvl w:val="0"/>
                <w:numId w:val="12"/>
              </w:numPr>
              <w:jc w:val="both"/>
              <w:rPr>
                <w:sz w:val="20"/>
              </w:rPr>
            </w:pPr>
            <w:r w:rsidRPr="008B4DA8">
              <w:rPr>
                <w:rFonts w:cs="Arial"/>
                <w:sz w:val="20"/>
              </w:rPr>
              <w:t xml:space="preserve">Perspectives on Learning and Development </w:t>
            </w:r>
          </w:p>
        </w:tc>
        <w:tc>
          <w:tcPr>
            <w:tcW w:w="2504" w:type="dxa"/>
          </w:tcPr>
          <w:p w14:paraId="6DA10B06" w14:textId="77777777" w:rsidR="00C25C7D" w:rsidRPr="008B4DA8" w:rsidRDefault="00C25C7D" w:rsidP="00BC6421">
            <w:pPr>
              <w:numPr>
                <w:ilvl w:val="0"/>
                <w:numId w:val="12"/>
              </w:numPr>
              <w:jc w:val="both"/>
              <w:rPr>
                <w:rFonts w:cs="Arial"/>
                <w:sz w:val="20"/>
              </w:rPr>
            </w:pPr>
            <w:r w:rsidRPr="008B4DA8">
              <w:rPr>
                <w:rFonts w:cs="Arial"/>
                <w:sz w:val="20"/>
              </w:rPr>
              <w:t>Foundations for Practice</w:t>
            </w:r>
          </w:p>
          <w:p w14:paraId="5630CE87" w14:textId="77777777" w:rsidR="00C25C7D" w:rsidRPr="008B4DA8" w:rsidRDefault="00C25C7D" w:rsidP="00360FB0">
            <w:pPr>
              <w:jc w:val="both"/>
              <w:rPr>
                <w:sz w:val="20"/>
              </w:rPr>
            </w:pPr>
          </w:p>
        </w:tc>
        <w:tc>
          <w:tcPr>
            <w:tcW w:w="2505" w:type="dxa"/>
          </w:tcPr>
          <w:p w14:paraId="296FF9DF" w14:textId="77777777" w:rsidR="00C25C7D" w:rsidRPr="001E4E13" w:rsidRDefault="00C25C7D" w:rsidP="00BC6421">
            <w:pPr>
              <w:numPr>
                <w:ilvl w:val="0"/>
                <w:numId w:val="12"/>
              </w:numPr>
              <w:jc w:val="both"/>
              <w:rPr>
                <w:sz w:val="20"/>
              </w:rPr>
            </w:pPr>
            <w:r w:rsidRPr="008B4DA8">
              <w:rPr>
                <w:rFonts w:cs="Arial"/>
                <w:sz w:val="20"/>
              </w:rPr>
              <w:t>Self, Society and Welfare</w:t>
            </w:r>
          </w:p>
          <w:p w14:paraId="47D197E8" w14:textId="77777777" w:rsidR="001E4E13" w:rsidRPr="008B4DA8" w:rsidRDefault="001E4E13" w:rsidP="00BC6421">
            <w:pPr>
              <w:numPr>
                <w:ilvl w:val="0"/>
                <w:numId w:val="12"/>
              </w:numPr>
              <w:jc w:val="both"/>
              <w:rPr>
                <w:sz w:val="20"/>
              </w:rPr>
            </w:pPr>
            <w:r>
              <w:rPr>
                <w:rFonts w:cs="Arial"/>
                <w:sz w:val="20"/>
              </w:rPr>
              <w:t>Theories and Strategies for Learning</w:t>
            </w:r>
          </w:p>
        </w:tc>
      </w:tr>
    </w:tbl>
    <w:p w14:paraId="58C20A91" w14:textId="77777777" w:rsidR="00C25C7D" w:rsidRPr="008B4DA8" w:rsidRDefault="00C25C7D" w:rsidP="00360FB0">
      <w:pPr>
        <w:jc w:val="both"/>
        <w:rPr>
          <w:sz w:val="20"/>
        </w:rPr>
      </w:pPr>
    </w:p>
    <w:p w14:paraId="271C4102" w14:textId="77777777" w:rsidR="00C25C7D" w:rsidRPr="008B4DA8" w:rsidRDefault="00C25C7D" w:rsidP="00360FB0">
      <w:pPr>
        <w:jc w:val="both"/>
        <w:rPr>
          <w:rFonts w:cs="Arial"/>
          <w:sz w:val="20"/>
        </w:rPr>
      </w:pPr>
    </w:p>
    <w:p w14:paraId="01F6A586" w14:textId="77777777" w:rsidR="00C25C7D" w:rsidRPr="008B4DA8" w:rsidRDefault="00C25C7D" w:rsidP="00360FB0">
      <w:pPr>
        <w:pStyle w:val="BodyText"/>
        <w:jc w:val="both"/>
        <w:rPr>
          <w:rFonts w:cs="Arial"/>
          <w:i w:val="0"/>
          <w:sz w:val="20"/>
        </w:rPr>
      </w:pPr>
      <w:r w:rsidRPr="008B4DA8">
        <w:rPr>
          <w:rFonts w:cs="Arial"/>
          <w:i w:val="0"/>
          <w:sz w:val="20"/>
        </w:rPr>
        <w:t xml:space="preserve">At each level, hours spent on </w:t>
      </w:r>
      <w:proofErr w:type="spellStart"/>
      <w:r w:rsidRPr="008B4DA8">
        <w:rPr>
          <w:rFonts w:cs="Arial"/>
          <w:i w:val="0"/>
          <w:sz w:val="20"/>
        </w:rPr>
        <w:t>workbase</w:t>
      </w:r>
      <w:proofErr w:type="spellEnd"/>
      <w:r w:rsidRPr="008B4DA8">
        <w:rPr>
          <w:rFonts w:cs="Arial"/>
          <w:i w:val="0"/>
          <w:sz w:val="20"/>
        </w:rPr>
        <w:t xml:space="preserve"> placement form a vital part of ‘professional techniques and knowledge’ modules. Assessments require Students to reflect on their experiences and make links with aspects of theory. </w:t>
      </w:r>
    </w:p>
    <w:p w14:paraId="6E38B734" w14:textId="77777777" w:rsidR="00C25C7D" w:rsidRPr="008B4DA8" w:rsidRDefault="00C25C7D" w:rsidP="00360FB0">
      <w:pPr>
        <w:jc w:val="both"/>
        <w:rPr>
          <w:rFonts w:cs="Arial"/>
          <w:sz w:val="20"/>
        </w:rPr>
      </w:pPr>
    </w:p>
    <w:p w14:paraId="10D94892" w14:textId="77777777" w:rsidR="00C25C7D" w:rsidRPr="00B3381F" w:rsidRDefault="00C25C7D" w:rsidP="00B3381F">
      <w:pPr>
        <w:rPr>
          <w:b/>
          <w:sz w:val="22"/>
        </w:rPr>
      </w:pPr>
      <w:r w:rsidRPr="00B3381F">
        <w:rPr>
          <w:b/>
          <w:sz w:val="22"/>
        </w:rPr>
        <w:t>6.</w:t>
      </w:r>
      <w:r w:rsidRPr="00B3381F">
        <w:rPr>
          <w:b/>
          <w:sz w:val="22"/>
        </w:rPr>
        <w:tab/>
        <w:t>Placements</w:t>
      </w:r>
    </w:p>
    <w:p w14:paraId="7AC1CB33" w14:textId="77777777" w:rsidR="00C25C7D" w:rsidRPr="008B4DA8" w:rsidRDefault="00C25C7D" w:rsidP="00360FB0">
      <w:pPr>
        <w:jc w:val="both"/>
        <w:rPr>
          <w:rFonts w:cs="Arial"/>
          <w:sz w:val="20"/>
        </w:rPr>
      </w:pPr>
    </w:p>
    <w:p w14:paraId="779D4C46" w14:textId="77777777" w:rsidR="00C25C7D" w:rsidRPr="008B4DA8" w:rsidRDefault="00C25C7D" w:rsidP="00360FB0">
      <w:pPr>
        <w:jc w:val="both"/>
        <w:rPr>
          <w:rFonts w:cs="Arial"/>
          <w:sz w:val="20"/>
        </w:rPr>
      </w:pPr>
      <w:r w:rsidRPr="008B4DA8">
        <w:rPr>
          <w:rFonts w:cs="Arial"/>
          <w:sz w:val="20"/>
        </w:rPr>
        <w:t xml:space="preserve">The University of Huddersfield </w:t>
      </w:r>
      <w:r w:rsidR="002B2E56">
        <w:rPr>
          <w:rFonts w:cs="Arial"/>
          <w:sz w:val="20"/>
        </w:rPr>
        <w:t>uses</w:t>
      </w:r>
      <w:r w:rsidRPr="008B4DA8">
        <w:rPr>
          <w:rFonts w:cs="Arial"/>
          <w:sz w:val="20"/>
        </w:rPr>
        <w:t xml:space="preserve"> concurrent placements where Students attend University alongside doing fieldwork following a set pattern each week. Students are able to bring examples from practice to their University studies and to focus on issues almost immediately. Similarly, they are able to introduce ideas from University to their practice. This provides immediacy and enhances the learning at University. The use of concurrent placements means that Students are not normally able to undertake fieldwork beyond the travel-to-study area. </w:t>
      </w:r>
    </w:p>
    <w:p w14:paraId="6884173B" w14:textId="77777777" w:rsidR="00C25C7D" w:rsidRPr="008B4DA8" w:rsidRDefault="00C25C7D" w:rsidP="00360FB0">
      <w:pPr>
        <w:jc w:val="both"/>
        <w:rPr>
          <w:rFonts w:cs="Arial"/>
          <w:sz w:val="20"/>
        </w:rPr>
      </w:pPr>
    </w:p>
    <w:p w14:paraId="2E7C31BD" w14:textId="77777777" w:rsidR="00291CCF" w:rsidRDefault="00C25C7D" w:rsidP="00360FB0">
      <w:pPr>
        <w:jc w:val="both"/>
        <w:rPr>
          <w:rFonts w:cs="Arial"/>
          <w:sz w:val="20"/>
        </w:rPr>
      </w:pPr>
      <w:r w:rsidRPr="008B4DA8">
        <w:rPr>
          <w:rFonts w:cs="Arial"/>
          <w:sz w:val="20"/>
        </w:rPr>
        <w:t>Full-time Students normally start their placements in the seventh teaching week of the autumn term.</w:t>
      </w:r>
    </w:p>
    <w:p w14:paraId="6D8CEA70" w14:textId="77777777" w:rsidR="00C25C7D" w:rsidRPr="008B4DA8" w:rsidRDefault="00C25C7D" w:rsidP="00360FB0">
      <w:pPr>
        <w:jc w:val="both"/>
        <w:rPr>
          <w:rFonts w:cs="Arial"/>
          <w:sz w:val="20"/>
        </w:rPr>
      </w:pPr>
      <w:r w:rsidRPr="008B4DA8">
        <w:rPr>
          <w:rFonts w:cs="Arial"/>
          <w:sz w:val="20"/>
        </w:rPr>
        <w:t xml:space="preserve"> </w:t>
      </w:r>
    </w:p>
    <w:p w14:paraId="520AAF2A" w14:textId="77777777" w:rsidR="00291CCF" w:rsidRPr="00360FB0" w:rsidRDefault="00291CCF" w:rsidP="00BC6421">
      <w:pPr>
        <w:numPr>
          <w:ilvl w:val="0"/>
          <w:numId w:val="16"/>
        </w:numPr>
        <w:jc w:val="both"/>
        <w:rPr>
          <w:rFonts w:cs="Arial"/>
          <w:sz w:val="20"/>
        </w:rPr>
      </w:pPr>
      <w:r w:rsidRPr="00360FB0">
        <w:rPr>
          <w:sz w:val="20"/>
        </w:rPr>
        <w:t xml:space="preserve">First year students are on placement for 12 hours per week for 25 weeks. This gives a total of 300 hours. During the 18 teaching weeks included in this period students attend taught sessions at University for 2 days per week (12 hours per week). </w:t>
      </w:r>
      <w:r w:rsidRPr="00360FB0">
        <w:rPr>
          <w:rFonts w:cs="Arial"/>
          <w:sz w:val="20"/>
        </w:rPr>
        <w:t>At least 50% of the placement will be spent in direct engagement with young people aged 13 – 19. The rest of the placement will be spent on youth work related activity that contributes to reflective practice and professional formation.</w:t>
      </w:r>
    </w:p>
    <w:p w14:paraId="7EEECE6C" w14:textId="77777777" w:rsidR="00291CCF" w:rsidRPr="00360FB0" w:rsidRDefault="00291CCF" w:rsidP="00360FB0">
      <w:pPr>
        <w:jc w:val="both"/>
        <w:rPr>
          <w:sz w:val="20"/>
        </w:rPr>
      </w:pPr>
    </w:p>
    <w:p w14:paraId="2A720237" w14:textId="77777777" w:rsidR="00291CCF" w:rsidRPr="00360FB0" w:rsidRDefault="00291CCF" w:rsidP="00BC6421">
      <w:pPr>
        <w:numPr>
          <w:ilvl w:val="0"/>
          <w:numId w:val="3"/>
        </w:numPr>
        <w:jc w:val="both"/>
        <w:rPr>
          <w:sz w:val="20"/>
        </w:rPr>
      </w:pPr>
      <w:r w:rsidRPr="00360FB0">
        <w:rPr>
          <w:sz w:val="20"/>
        </w:rPr>
        <w:t xml:space="preserve">Second year students are on placement for 15 hours per week for 20 weeks. This gives a total of 300 hours. During the 18 teaching weeks included in this period students attend taught sessions at University for 2 days per week (12 hours per week). </w:t>
      </w:r>
      <w:r w:rsidRPr="00360FB0">
        <w:rPr>
          <w:rFonts w:cs="Arial"/>
          <w:sz w:val="20"/>
        </w:rPr>
        <w:t>At least 50% of the placement will be spent in direct engagement with young people aged 13 – 19. The rest of the placement will be spent on youth work related activity that contributes to reflective practice and professional formation.</w:t>
      </w:r>
    </w:p>
    <w:p w14:paraId="72CBD0EB" w14:textId="77777777" w:rsidR="00291CCF" w:rsidRPr="008B4DA8" w:rsidRDefault="00291CCF" w:rsidP="00360FB0">
      <w:pPr>
        <w:jc w:val="both"/>
        <w:rPr>
          <w:sz w:val="20"/>
        </w:rPr>
      </w:pPr>
    </w:p>
    <w:p w14:paraId="101AB884" w14:textId="77777777" w:rsidR="00291CCF" w:rsidRPr="008B4DA8" w:rsidRDefault="00291CCF" w:rsidP="00BC6421">
      <w:pPr>
        <w:numPr>
          <w:ilvl w:val="0"/>
          <w:numId w:val="3"/>
        </w:numPr>
        <w:jc w:val="both"/>
        <w:rPr>
          <w:sz w:val="20"/>
        </w:rPr>
      </w:pPr>
      <w:r w:rsidRPr="008B4DA8">
        <w:rPr>
          <w:sz w:val="20"/>
        </w:rPr>
        <w:t>Third year students are on placement for 15 hours per week for 1</w:t>
      </w:r>
      <w:r>
        <w:rPr>
          <w:sz w:val="20"/>
        </w:rPr>
        <w:t>4</w:t>
      </w:r>
      <w:r w:rsidRPr="008B4DA8">
        <w:rPr>
          <w:sz w:val="20"/>
        </w:rPr>
        <w:t>weeks. This gives a total of 2</w:t>
      </w:r>
      <w:r>
        <w:rPr>
          <w:sz w:val="20"/>
        </w:rPr>
        <w:t>1</w:t>
      </w:r>
      <w:r w:rsidRPr="008B4DA8">
        <w:rPr>
          <w:sz w:val="20"/>
        </w:rPr>
        <w:t xml:space="preserve">0 hours. During teaching weeks, students attend taught sessions at University for between 8 and 12 hours per week. </w:t>
      </w:r>
    </w:p>
    <w:p w14:paraId="6C255E37" w14:textId="77777777" w:rsidR="00291CCF" w:rsidRPr="008B4DA8" w:rsidRDefault="00291CCF" w:rsidP="00360FB0">
      <w:pPr>
        <w:jc w:val="both"/>
        <w:rPr>
          <w:sz w:val="20"/>
        </w:rPr>
      </w:pPr>
    </w:p>
    <w:p w14:paraId="709C6202" w14:textId="77777777" w:rsidR="00291CCF" w:rsidRPr="008B4DA8" w:rsidRDefault="00291CCF" w:rsidP="00360FB0">
      <w:pPr>
        <w:jc w:val="both"/>
        <w:rPr>
          <w:sz w:val="20"/>
        </w:rPr>
      </w:pPr>
      <w:r w:rsidRPr="008B4DA8">
        <w:rPr>
          <w:sz w:val="20"/>
        </w:rPr>
        <w:t>Over the course of the BA (Hons) Youth and Community Work students complete a total of 8</w:t>
      </w:r>
      <w:r>
        <w:rPr>
          <w:sz w:val="20"/>
        </w:rPr>
        <w:t>1</w:t>
      </w:r>
      <w:r w:rsidRPr="008B4DA8">
        <w:rPr>
          <w:sz w:val="20"/>
        </w:rPr>
        <w:t xml:space="preserve">0 hours on placement, normally at a total of 3 fieldwork settings with 3 Fieldwork Supervisors. </w:t>
      </w:r>
      <w:r>
        <w:rPr>
          <w:sz w:val="20"/>
        </w:rPr>
        <w:t>Some</w:t>
      </w:r>
      <w:r w:rsidRPr="008B4DA8">
        <w:rPr>
          <w:sz w:val="20"/>
        </w:rPr>
        <w:t xml:space="preserve"> students will return to the location of their first or second year placement for their third year. </w:t>
      </w:r>
    </w:p>
    <w:p w14:paraId="3A68D4A6" w14:textId="77777777" w:rsidR="00C25C7D" w:rsidRPr="008B4DA8" w:rsidRDefault="00C25C7D" w:rsidP="00360FB0">
      <w:pPr>
        <w:jc w:val="both"/>
        <w:rPr>
          <w:sz w:val="20"/>
        </w:rPr>
      </w:pPr>
    </w:p>
    <w:p w14:paraId="62B2A9C3" w14:textId="77777777" w:rsidR="00C25C7D" w:rsidRPr="008B4DA8" w:rsidRDefault="00C25C7D" w:rsidP="00360FB0">
      <w:pPr>
        <w:jc w:val="both"/>
        <w:rPr>
          <w:sz w:val="20"/>
        </w:rPr>
      </w:pPr>
      <w:r w:rsidRPr="008B4DA8">
        <w:rPr>
          <w:sz w:val="20"/>
        </w:rPr>
        <w:t>The BA(Hons) Youth and Community Work complies with the University of Huddersfield / School of Education and Professional Development’s systems and procedures with regard to aspects of the administration of placements including risk assessment.</w:t>
      </w:r>
    </w:p>
    <w:p w14:paraId="7B278649" w14:textId="77777777" w:rsidR="00C25C7D" w:rsidRPr="008B4DA8" w:rsidRDefault="00C25C7D" w:rsidP="00360FB0">
      <w:pPr>
        <w:jc w:val="both"/>
        <w:rPr>
          <w:sz w:val="20"/>
        </w:rPr>
      </w:pPr>
    </w:p>
    <w:p w14:paraId="3657A6AA" w14:textId="77777777" w:rsidR="00C25C7D" w:rsidRPr="008B4DA8" w:rsidRDefault="00C25C7D" w:rsidP="00360FB0">
      <w:pPr>
        <w:jc w:val="both"/>
        <w:rPr>
          <w:b/>
          <w:sz w:val="20"/>
        </w:rPr>
      </w:pPr>
      <w:r w:rsidRPr="008B4DA8">
        <w:rPr>
          <w:b/>
          <w:sz w:val="20"/>
        </w:rPr>
        <w:t>Part-time In-Service Students: the Work base as a place of Learning</w:t>
      </w:r>
    </w:p>
    <w:p w14:paraId="5BA1A33E" w14:textId="77777777" w:rsidR="00C25C7D" w:rsidRPr="008B4DA8" w:rsidRDefault="00C25C7D" w:rsidP="00360FB0">
      <w:pPr>
        <w:jc w:val="both"/>
        <w:rPr>
          <w:b/>
          <w:caps/>
          <w:sz w:val="20"/>
        </w:rPr>
      </w:pPr>
    </w:p>
    <w:p w14:paraId="63007968" w14:textId="77777777" w:rsidR="00C25C7D" w:rsidRPr="008B4DA8" w:rsidRDefault="00C25C7D" w:rsidP="00360FB0">
      <w:pPr>
        <w:jc w:val="both"/>
        <w:rPr>
          <w:rFonts w:cs="Arial"/>
          <w:sz w:val="20"/>
        </w:rPr>
      </w:pPr>
      <w:r w:rsidRPr="008B4DA8">
        <w:rPr>
          <w:rFonts w:cs="Arial"/>
          <w:sz w:val="20"/>
        </w:rPr>
        <w:t xml:space="preserve">In-service students are working alongside their studies. This enables students to bring examples from practice to their University studies and to focus on issues almost immediately. Similarly, they are able to introduce ideas from University to their practice. This provides immediacy and enhances the learning at University. </w:t>
      </w:r>
    </w:p>
    <w:p w14:paraId="243E7C99" w14:textId="77777777" w:rsidR="00C25C7D" w:rsidRPr="008B4DA8" w:rsidRDefault="00C25C7D" w:rsidP="00360FB0">
      <w:pPr>
        <w:jc w:val="both"/>
        <w:rPr>
          <w:rFonts w:cs="Arial"/>
          <w:sz w:val="20"/>
        </w:rPr>
      </w:pPr>
    </w:p>
    <w:p w14:paraId="0C3ED00E" w14:textId="77777777" w:rsidR="00C25C7D" w:rsidRPr="008B4DA8" w:rsidRDefault="00C25C7D" w:rsidP="00360FB0">
      <w:pPr>
        <w:jc w:val="both"/>
        <w:rPr>
          <w:rFonts w:cs="Arial"/>
          <w:sz w:val="20"/>
        </w:rPr>
      </w:pPr>
      <w:r w:rsidRPr="008B4DA8">
        <w:rPr>
          <w:rFonts w:cs="Arial"/>
          <w:sz w:val="20"/>
        </w:rPr>
        <w:t xml:space="preserve">In-service students are required to be working for a minimum of 10 hours per week within a relevant work placement. Placements are normally seen as starting in the </w:t>
      </w:r>
      <w:r w:rsidR="005A3567">
        <w:rPr>
          <w:rFonts w:cs="Arial"/>
          <w:sz w:val="20"/>
        </w:rPr>
        <w:t>first</w:t>
      </w:r>
      <w:r w:rsidRPr="008B4DA8">
        <w:rPr>
          <w:rFonts w:cs="Arial"/>
          <w:sz w:val="20"/>
        </w:rPr>
        <w:t xml:space="preserve"> teaching week of the autumn term continuing for 22 weeks. Within the first 3 years of the course this ensures that students have undertaken a minimum of 660 hours of relevant work placement. Most students will be working in relevant work placements for many more than the minimum of 10 hours per week as many have substantial part time or full time posts within the field.</w:t>
      </w:r>
    </w:p>
    <w:p w14:paraId="60C04DB9" w14:textId="77777777" w:rsidR="00C25C7D" w:rsidRPr="008B4DA8" w:rsidRDefault="00C25C7D" w:rsidP="00360FB0">
      <w:pPr>
        <w:jc w:val="both"/>
        <w:rPr>
          <w:rFonts w:cs="Arial"/>
          <w:sz w:val="20"/>
        </w:rPr>
      </w:pPr>
    </w:p>
    <w:p w14:paraId="4C72AB97" w14:textId="77777777" w:rsidR="00C25C7D" w:rsidRPr="008B4DA8" w:rsidRDefault="00C25C7D" w:rsidP="00360FB0">
      <w:pPr>
        <w:jc w:val="both"/>
        <w:rPr>
          <w:rFonts w:cs="Arial"/>
          <w:sz w:val="20"/>
        </w:rPr>
      </w:pPr>
      <w:r w:rsidRPr="008B4DA8">
        <w:rPr>
          <w:rFonts w:cs="Arial"/>
          <w:sz w:val="20"/>
        </w:rPr>
        <w:t>Students are required by the NYA to undertake a minimum of 230 hours in a second placement. This second placement will normally take place during the 4</w:t>
      </w:r>
      <w:r w:rsidRPr="008B4DA8">
        <w:rPr>
          <w:rFonts w:cs="Arial"/>
          <w:sz w:val="20"/>
          <w:vertAlign w:val="superscript"/>
        </w:rPr>
        <w:t>th</w:t>
      </w:r>
      <w:r w:rsidRPr="008B4DA8">
        <w:rPr>
          <w:rFonts w:cs="Arial"/>
          <w:sz w:val="20"/>
        </w:rPr>
        <w:t xml:space="preserve"> year of study thus ensuring a minimum of 890 placement hours in total. </w:t>
      </w:r>
    </w:p>
    <w:p w14:paraId="662DA395" w14:textId="77777777" w:rsidR="00C25C7D" w:rsidRPr="008B4DA8" w:rsidRDefault="00C25C7D" w:rsidP="00360FB0">
      <w:pPr>
        <w:jc w:val="both"/>
        <w:rPr>
          <w:rFonts w:cs="Arial"/>
          <w:sz w:val="20"/>
        </w:rPr>
      </w:pPr>
    </w:p>
    <w:p w14:paraId="7FE98243" w14:textId="77777777" w:rsidR="00C25C7D" w:rsidRPr="008B4DA8" w:rsidRDefault="00C25C7D" w:rsidP="00360FB0">
      <w:pPr>
        <w:jc w:val="both"/>
        <w:rPr>
          <w:rFonts w:cs="Arial"/>
          <w:sz w:val="20"/>
        </w:rPr>
      </w:pPr>
      <w:r w:rsidRPr="008B4DA8">
        <w:rPr>
          <w:rFonts w:cs="Arial"/>
          <w:sz w:val="20"/>
        </w:rPr>
        <w:t>These placement hours reflect an increase in the focus on work based learning for our part time students in response to the national strategy. Within the academic setting we are seeking to support our students to maximise their learning from their place of work by:</w:t>
      </w:r>
    </w:p>
    <w:p w14:paraId="3C373D33" w14:textId="77777777" w:rsidR="00C25C7D" w:rsidRPr="008B4DA8" w:rsidRDefault="00C25C7D" w:rsidP="00360FB0">
      <w:pPr>
        <w:jc w:val="both"/>
        <w:rPr>
          <w:rFonts w:cs="Arial"/>
          <w:sz w:val="20"/>
        </w:rPr>
      </w:pPr>
    </w:p>
    <w:p w14:paraId="2E33A6EB" w14:textId="77777777" w:rsidR="00C25C7D" w:rsidRPr="008B4DA8" w:rsidRDefault="00C25C7D" w:rsidP="00BC6421">
      <w:pPr>
        <w:numPr>
          <w:ilvl w:val="0"/>
          <w:numId w:val="15"/>
        </w:numPr>
        <w:jc w:val="both"/>
        <w:rPr>
          <w:rFonts w:cs="Arial"/>
          <w:sz w:val="20"/>
        </w:rPr>
      </w:pPr>
      <w:r w:rsidRPr="008B4DA8">
        <w:rPr>
          <w:rFonts w:cs="Arial"/>
          <w:sz w:val="20"/>
        </w:rPr>
        <w:t>Including work placement hours in the hours attached to fieldwork modules</w:t>
      </w:r>
    </w:p>
    <w:p w14:paraId="0E975399" w14:textId="77777777" w:rsidR="00C25C7D" w:rsidRPr="008B4DA8" w:rsidRDefault="00C25C7D" w:rsidP="00360FB0">
      <w:pPr>
        <w:jc w:val="both"/>
        <w:rPr>
          <w:rFonts w:cs="Arial"/>
          <w:sz w:val="20"/>
        </w:rPr>
      </w:pPr>
    </w:p>
    <w:p w14:paraId="5E6EE055" w14:textId="77777777" w:rsidR="00C25C7D" w:rsidRPr="008B4DA8" w:rsidRDefault="00C25C7D" w:rsidP="00BC6421">
      <w:pPr>
        <w:numPr>
          <w:ilvl w:val="0"/>
          <w:numId w:val="15"/>
        </w:numPr>
        <w:jc w:val="both"/>
        <w:rPr>
          <w:rFonts w:cs="Arial"/>
          <w:sz w:val="20"/>
        </w:rPr>
      </w:pPr>
      <w:r w:rsidRPr="008B4DA8">
        <w:rPr>
          <w:rFonts w:cs="Arial"/>
          <w:sz w:val="20"/>
        </w:rPr>
        <w:t>Increasing the focus on building student’s skills in writing relevant and challenging learning agreements with their work place</w:t>
      </w:r>
    </w:p>
    <w:p w14:paraId="5EA10F38" w14:textId="77777777" w:rsidR="00C25C7D" w:rsidRPr="008B4DA8" w:rsidRDefault="00C25C7D" w:rsidP="00360FB0">
      <w:pPr>
        <w:jc w:val="both"/>
        <w:rPr>
          <w:rFonts w:cs="Arial"/>
          <w:sz w:val="20"/>
        </w:rPr>
      </w:pPr>
    </w:p>
    <w:p w14:paraId="63D1B839" w14:textId="77777777" w:rsidR="00C25C7D" w:rsidRPr="008B4DA8" w:rsidRDefault="00C25C7D" w:rsidP="00BC6421">
      <w:pPr>
        <w:numPr>
          <w:ilvl w:val="0"/>
          <w:numId w:val="15"/>
        </w:numPr>
        <w:jc w:val="both"/>
        <w:rPr>
          <w:rFonts w:cs="Arial"/>
          <w:sz w:val="20"/>
        </w:rPr>
      </w:pPr>
      <w:r w:rsidRPr="008B4DA8">
        <w:rPr>
          <w:rFonts w:cs="Arial"/>
          <w:sz w:val="20"/>
        </w:rPr>
        <w:t>Including an additional section within the supervisor’s fieldwork report that comments on the students ability to reflect on and learn from their own practice</w:t>
      </w:r>
    </w:p>
    <w:p w14:paraId="7F955D96" w14:textId="77777777" w:rsidR="00C25C7D" w:rsidRPr="008B4DA8" w:rsidRDefault="00C25C7D" w:rsidP="00360FB0">
      <w:pPr>
        <w:jc w:val="both"/>
        <w:rPr>
          <w:rFonts w:cs="Arial"/>
          <w:sz w:val="20"/>
        </w:rPr>
      </w:pPr>
    </w:p>
    <w:p w14:paraId="20343F80" w14:textId="77777777" w:rsidR="00C25C7D" w:rsidRPr="008B4DA8" w:rsidRDefault="00C25C7D" w:rsidP="00BC6421">
      <w:pPr>
        <w:numPr>
          <w:ilvl w:val="0"/>
          <w:numId w:val="15"/>
        </w:numPr>
        <w:jc w:val="both"/>
        <w:rPr>
          <w:rFonts w:cs="Arial"/>
          <w:sz w:val="20"/>
        </w:rPr>
      </w:pPr>
      <w:r w:rsidRPr="008B4DA8">
        <w:rPr>
          <w:rFonts w:cs="Arial"/>
          <w:sz w:val="20"/>
        </w:rPr>
        <w:t>Including an additional section within the fieldwork report that requires students to reflect on the supervisor’s report.</w:t>
      </w:r>
    </w:p>
    <w:p w14:paraId="0F74DCA8" w14:textId="77777777" w:rsidR="00C25C7D" w:rsidRPr="008B4DA8" w:rsidRDefault="00C25C7D" w:rsidP="00360FB0">
      <w:pPr>
        <w:jc w:val="both"/>
        <w:rPr>
          <w:rFonts w:cs="Arial"/>
          <w:sz w:val="20"/>
        </w:rPr>
      </w:pPr>
    </w:p>
    <w:p w14:paraId="1141D3A1" w14:textId="77777777" w:rsidR="00C25C7D" w:rsidRPr="008B4DA8" w:rsidRDefault="00C25C7D" w:rsidP="00360FB0">
      <w:pPr>
        <w:jc w:val="both"/>
        <w:rPr>
          <w:rFonts w:cs="Arial"/>
          <w:b/>
          <w:sz w:val="20"/>
        </w:rPr>
      </w:pPr>
      <w:r w:rsidRPr="008B4DA8">
        <w:rPr>
          <w:rFonts w:cs="Arial"/>
          <w:b/>
          <w:sz w:val="20"/>
        </w:rPr>
        <w:t>7.</w:t>
      </w:r>
      <w:r w:rsidRPr="008B4DA8">
        <w:rPr>
          <w:rFonts w:cs="Arial"/>
          <w:b/>
          <w:sz w:val="20"/>
        </w:rPr>
        <w:tab/>
        <w:t>THE SUPERVISION OF PLACEMENTS</w:t>
      </w:r>
    </w:p>
    <w:p w14:paraId="25607C9D" w14:textId="77777777" w:rsidR="00C25C7D" w:rsidRPr="008B4DA8" w:rsidRDefault="00C25C7D" w:rsidP="00360FB0">
      <w:pPr>
        <w:jc w:val="both"/>
        <w:rPr>
          <w:rFonts w:cs="Arial"/>
          <w:b/>
          <w:sz w:val="20"/>
        </w:rPr>
      </w:pPr>
    </w:p>
    <w:p w14:paraId="01996490" w14:textId="77777777" w:rsidR="00C25C7D" w:rsidRPr="008B4DA8" w:rsidRDefault="00C25C7D" w:rsidP="00360FB0">
      <w:pPr>
        <w:pStyle w:val="BodyText2"/>
        <w:jc w:val="both"/>
        <w:rPr>
          <w:rFonts w:cs="Arial"/>
          <w:b w:val="0"/>
          <w:sz w:val="20"/>
        </w:rPr>
      </w:pPr>
      <w:r w:rsidRPr="008B4DA8">
        <w:rPr>
          <w:rFonts w:cs="Arial"/>
          <w:b w:val="0"/>
          <w:sz w:val="20"/>
        </w:rPr>
        <w:t>Regular developmental supervision is vital for the professional development of Students and for the meaningful assessment of practice. Therefore the University requires placement agencies / employers to commit to providing such supervision by suitably qualified and / or experienced practitioners. The Agreement, which is made at the beginning of the placement, contains the key expectations of the placement agency / employer, the key responsibilities of the University and includes the Student’s responsibilities, learning needs and agreed practice designed to meet the learning needs. The Agreement proforma is included in the Fieldwork Handbook’s appendices and is also available electronically. The following points encapsulate the essential principles underpinning the Agreement:</w:t>
      </w:r>
    </w:p>
    <w:p w14:paraId="74B38D66" w14:textId="77777777" w:rsidR="00C25C7D" w:rsidRPr="008B4DA8" w:rsidRDefault="00C25C7D" w:rsidP="00360FB0">
      <w:pPr>
        <w:jc w:val="both"/>
        <w:rPr>
          <w:rFonts w:cs="Arial"/>
          <w:sz w:val="20"/>
        </w:rPr>
      </w:pPr>
    </w:p>
    <w:p w14:paraId="27447EE3" w14:textId="77777777" w:rsidR="00C25C7D" w:rsidRPr="008B4DA8" w:rsidRDefault="00C25C7D" w:rsidP="00BC6421">
      <w:pPr>
        <w:numPr>
          <w:ilvl w:val="0"/>
          <w:numId w:val="6"/>
        </w:numPr>
        <w:jc w:val="both"/>
        <w:rPr>
          <w:rFonts w:cs="Arial"/>
          <w:sz w:val="20"/>
        </w:rPr>
      </w:pPr>
      <w:r w:rsidRPr="008B4DA8">
        <w:rPr>
          <w:rFonts w:cs="Arial"/>
          <w:sz w:val="20"/>
        </w:rPr>
        <w:t xml:space="preserve">Students should meet regularly at an agreed time with the Fieldwork Supervisor for formal developmental supervision with a clear focus on the Course. </w:t>
      </w:r>
    </w:p>
    <w:p w14:paraId="09C4A103" w14:textId="77777777" w:rsidR="00C25C7D" w:rsidRPr="008B4DA8" w:rsidRDefault="00C25C7D" w:rsidP="00360FB0">
      <w:pPr>
        <w:jc w:val="both"/>
        <w:rPr>
          <w:rFonts w:cs="Arial"/>
          <w:sz w:val="20"/>
        </w:rPr>
      </w:pPr>
    </w:p>
    <w:p w14:paraId="57619BB2" w14:textId="77777777" w:rsidR="00C25C7D" w:rsidRPr="008B4DA8" w:rsidRDefault="00C25C7D" w:rsidP="00BC6421">
      <w:pPr>
        <w:numPr>
          <w:ilvl w:val="0"/>
          <w:numId w:val="6"/>
        </w:numPr>
        <w:jc w:val="both"/>
        <w:rPr>
          <w:rFonts w:cs="Arial"/>
          <w:sz w:val="20"/>
        </w:rPr>
      </w:pPr>
      <w:r w:rsidRPr="008B4DA8">
        <w:rPr>
          <w:rFonts w:cs="Arial"/>
          <w:sz w:val="20"/>
        </w:rPr>
        <w:t xml:space="preserve">Students should be given appropriate project opportunities in their work-base to enable them to meet the learning outcomes for the </w:t>
      </w:r>
      <w:r w:rsidR="00C74C4C">
        <w:rPr>
          <w:rFonts w:cs="Arial"/>
          <w:sz w:val="20"/>
        </w:rPr>
        <w:t>Practice-based</w:t>
      </w:r>
      <w:r w:rsidRPr="008B4DA8">
        <w:rPr>
          <w:rFonts w:cs="Arial"/>
          <w:sz w:val="20"/>
        </w:rPr>
        <w:t xml:space="preserve"> modules. </w:t>
      </w:r>
    </w:p>
    <w:p w14:paraId="569EF0ED" w14:textId="77777777" w:rsidR="00C25C7D" w:rsidRPr="008B4DA8" w:rsidRDefault="00C25C7D" w:rsidP="00360FB0">
      <w:pPr>
        <w:jc w:val="both"/>
        <w:rPr>
          <w:rFonts w:cs="Arial"/>
          <w:sz w:val="20"/>
        </w:rPr>
      </w:pPr>
    </w:p>
    <w:p w14:paraId="2A8D9834" w14:textId="77777777" w:rsidR="00C25C7D" w:rsidRPr="008B4DA8" w:rsidRDefault="00C25C7D" w:rsidP="00BC6421">
      <w:pPr>
        <w:numPr>
          <w:ilvl w:val="0"/>
          <w:numId w:val="6"/>
        </w:numPr>
        <w:jc w:val="both"/>
        <w:rPr>
          <w:rFonts w:cs="Arial"/>
          <w:sz w:val="20"/>
        </w:rPr>
      </w:pPr>
      <w:r w:rsidRPr="008B4DA8">
        <w:rPr>
          <w:rFonts w:cs="Arial"/>
          <w:sz w:val="20"/>
        </w:rPr>
        <w:t>Particularly at intermediate and higher level, Students’ experiences should balance opportunities to pursue special interests and areas of expertise with the need to undertake tasks necessary to the placement organisation and the need to develop a broad portfolio of skills and experience.</w:t>
      </w:r>
    </w:p>
    <w:p w14:paraId="1514D025" w14:textId="77777777" w:rsidR="00C25C7D" w:rsidRPr="008B4DA8" w:rsidRDefault="00C25C7D" w:rsidP="00360FB0">
      <w:pPr>
        <w:jc w:val="both"/>
        <w:rPr>
          <w:rFonts w:cs="Arial"/>
          <w:sz w:val="20"/>
        </w:rPr>
      </w:pPr>
    </w:p>
    <w:p w14:paraId="5A81D955" w14:textId="77777777" w:rsidR="00C25C7D" w:rsidRPr="008B4DA8" w:rsidRDefault="00C25C7D" w:rsidP="00BC6421">
      <w:pPr>
        <w:numPr>
          <w:ilvl w:val="0"/>
          <w:numId w:val="6"/>
        </w:numPr>
        <w:jc w:val="both"/>
        <w:rPr>
          <w:rFonts w:cs="Arial"/>
          <w:sz w:val="20"/>
        </w:rPr>
      </w:pPr>
      <w:r w:rsidRPr="008B4DA8">
        <w:rPr>
          <w:rFonts w:cs="Arial"/>
          <w:sz w:val="20"/>
        </w:rPr>
        <w:t xml:space="preserve">Students should be supported in developing autonomy and independence during their placement. </w:t>
      </w:r>
    </w:p>
    <w:p w14:paraId="427B6D11" w14:textId="77777777" w:rsidR="00C25C7D" w:rsidRPr="008B4DA8" w:rsidRDefault="00C25C7D" w:rsidP="00360FB0">
      <w:pPr>
        <w:jc w:val="both"/>
        <w:rPr>
          <w:rFonts w:cs="Arial"/>
          <w:sz w:val="20"/>
        </w:rPr>
      </w:pPr>
    </w:p>
    <w:p w14:paraId="14140131" w14:textId="77777777" w:rsidR="00C25C7D" w:rsidRPr="008B4DA8" w:rsidRDefault="00C25C7D" w:rsidP="00360FB0">
      <w:pPr>
        <w:jc w:val="both"/>
        <w:rPr>
          <w:rFonts w:cs="Arial"/>
          <w:sz w:val="20"/>
        </w:rPr>
      </w:pPr>
      <w:r w:rsidRPr="008B4DA8">
        <w:rPr>
          <w:rFonts w:cs="Arial"/>
          <w:sz w:val="20"/>
        </w:rPr>
        <w:t xml:space="preserve">Aspects of the theory and practice of professional supervision are addressed in the teaching of </w:t>
      </w:r>
      <w:r w:rsidR="00C74C4C">
        <w:rPr>
          <w:rFonts w:cs="Arial"/>
          <w:sz w:val="20"/>
        </w:rPr>
        <w:t>Practice-based</w:t>
      </w:r>
      <w:r w:rsidRPr="008B4DA8">
        <w:rPr>
          <w:rFonts w:cs="Arial"/>
          <w:sz w:val="20"/>
        </w:rPr>
        <w:t xml:space="preserve"> modules. This includes a focus on self-organisation, assertiveness and preparation so Students’ experience of supervision is maximised. </w:t>
      </w:r>
    </w:p>
    <w:p w14:paraId="5E7E6A5F" w14:textId="77777777" w:rsidR="00C25C7D" w:rsidRPr="008B4DA8" w:rsidRDefault="00C25C7D" w:rsidP="00360FB0">
      <w:pPr>
        <w:jc w:val="both"/>
        <w:rPr>
          <w:rFonts w:cs="Arial"/>
          <w:b/>
          <w:sz w:val="20"/>
        </w:rPr>
      </w:pPr>
    </w:p>
    <w:p w14:paraId="32C3B9D8" w14:textId="77777777" w:rsidR="00C25C7D" w:rsidRPr="008B4DA8" w:rsidRDefault="00C25C7D" w:rsidP="00360FB0">
      <w:pPr>
        <w:jc w:val="both"/>
        <w:rPr>
          <w:rFonts w:cs="Arial"/>
          <w:b/>
          <w:sz w:val="20"/>
        </w:rPr>
      </w:pPr>
      <w:r w:rsidRPr="008B4DA8">
        <w:rPr>
          <w:rFonts w:cs="Arial"/>
          <w:b/>
          <w:sz w:val="20"/>
        </w:rPr>
        <w:t>8.</w:t>
      </w:r>
      <w:r w:rsidRPr="008B4DA8">
        <w:rPr>
          <w:rFonts w:cs="Arial"/>
          <w:b/>
          <w:sz w:val="20"/>
        </w:rPr>
        <w:tab/>
        <w:t>3-WAY FIELDWORK MEETINGS</w:t>
      </w:r>
    </w:p>
    <w:p w14:paraId="19BD6C90" w14:textId="77777777" w:rsidR="00C25C7D" w:rsidRPr="008B4DA8" w:rsidRDefault="00C25C7D" w:rsidP="00360FB0">
      <w:pPr>
        <w:jc w:val="both"/>
        <w:rPr>
          <w:rFonts w:cs="Arial"/>
          <w:b/>
          <w:sz w:val="20"/>
        </w:rPr>
      </w:pPr>
    </w:p>
    <w:p w14:paraId="12FA82AB" w14:textId="77777777" w:rsidR="00C25C7D" w:rsidRPr="008B4DA8" w:rsidRDefault="00C25C7D" w:rsidP="00360FB0">
      <w:pPr>
        <w:jc w:val="both"/>
        <w:rPr>
          <w:rFonts w:cs="Arial"/>
          <w:sz w:val="20"/>
        </w:rPr>
      </w:pPr>
      <w:r w:rsidRPr="008B4DA8">
        <w:rPr>
          <w:rFonts w:cs="Arial"/>
          <w:sz w:val="20"/>
        </w:rPr>
        <w:t xml:space="preserve">Full-time Students together with their Fieldwork Supervisor and Fieldwork Tutor normally meet together during each placement during their first and second years of study for a ‘three-way meeting’. In order to ensure students are appropriately supported in the context of their learning and the demands of the placement, first year students </w:t>
      </w:r>
      <w:r w:rsidR="00E34896">
        <w:rPr>
          <w:rFonts w:cs="Arial"/>
          <w:sz w:val="20"/>
        </w:rPr>
        <w:t xml:space="preserve">normally </w:t>
      </w:r>
      <w:r w:rsidRPr="008B4DA8">
        <w:rPr>
          <w:rFonts w:cs="Arial"/>
          <w:sz w:val="20"/>
        </w:rPr>
        <w:t xml:space="preserve">receive </w:t>
      </w:r>
      <w:r w:rsidR="00E34896">
        <w:rPr>
          <w:rFonts w:cs="Arial"/>
          <w:sz w:val="20"/>
        </w:rPr>
        <w:t>two or</w:t>
      </w:r>
      <w:r w:rsidRPr="008B4DA8">
        <w:rPr>
          <w:rFonts w:cs="Arial"/>
          <w:sz w:val="20"/>
        </w:rPr>
        <w:t xml:space="preserve"> three visits depending on need, and second years receive one or two. Third year placements are supported through </w:t>
      </w:r>
      <w:r w:rsidR="00E34896">
        <w:rPr>
          <w:rFonts w:cs="Arial"/>
          <w:sz w:val="20"/>
        </w:rPr>
        <w:t xml:space="preserve">one </w:t>
      </w:r>
      <w:r w:rsidR="002D6B31">
        <w:rPr>
          <w:rFonts w:cs="Arial"/>
          <w:sz w:val="20"/>
        </w:rPr>
        <w:t xml:space="preserve">face-to-face meetings </w:t>
      </w:r>
      <w:r w:rsidR="00E34896">
        <w:rPr>
          <w:rFonts w:cs="Arial"/>
          <w:sz w:val="20"/>
        </w:rPr>
        <w:t>and/</w:t>
      </w:r>
      <w:r w:rsidR="002D6B31">
        <w:rPr>
          <w:rFonts w:cs="Arial"/>
          <w:sz w:val="20"/>
        </w:rPr>
        <w:t xml:space="preserve">or </w:t>
      </w:r>
      <w:r w:rsidRPr="008B4DA8">
        <w:rPr>
          <w:rFonts w:cs="Arial"/>
          <w:sz w:val="20"/>
        </w:rPr>
        <w:t>telephone contact</w:t>
      </w:r>
      <w:r w:rsidR="002D6B31">
        <w:rPr>
          <w:rFonts w:cs="Arial"/>
          <w:sz w:val="20"/>
        </w:rPr>
        <w:t>.</w:t>
      </w:r>
    </w:p>
    <w:p w14:paraId="2F738FFF" w14:textId="77777777" w:rsidR="00C25C7D" w:rsidRPr="008B4DA8" w:rsidRDefault="00C25C7D" w:rsidP="00360FB0">
      <w:pPr>
        <w:jc w:val="both"/>
        <w:rPr>
          <w:rFonts w:cs="Arial"/>
          <w:sz w:val="20"/>
        </w:rPr>
      </w:pPr>
      <w:r w:rsidRPr="008B4DA8">
        <w:rPr>
          <w:rFonts w:cs="Arial"/>
          <w:sz w:val="20"/>
        </w:rPr>
        <w:t>In-service students together with their Fieldwork Supervisor and Fieldwork Tutor normally meet together at the start of each year of study to ensure that students have appropriate ‘Learning Agreement’ that can enable them to develop appropriate professionally competence and also meet the learning outcomes for the practice based modules. Fieldwork tutors will ensure that Supervisors are able to produce appropriate supporting documentation towards the end of the year through additional fieldwork meetings or telephone and electronic communication between tutor and supervisor. Students identified as possibly struggling with professional competence will have an additional 3 way meeting to ensure that the University, student and the employer are clear about what actions need to be undertaken for the student to achieve the appropriate level of competence in their work place. During the 4</w:t>
      </w:r>
      <w:r w:rsidRPr="008B4DA8">
        <w:rPr>
          <w:rFonts w:cs="Arial"/>
          <w:sz w:val="20"/>
          <w:vertAlign w:val="superscript"/>
        </w:rPr>
        <w:t>th</w:t>
      </w:r>
      <w:r w:rsidRPr="008B4DA8">
        <w:rPr>
          <w:rFonts w:cs="Arial"/>
          <w:sz w:val="20"/>
        </w:rPr>
        <w:t xml:space="preserve"> year students will normally have two 3-way meetings to ensure that appropriate learning is taking place within the secondary placement. </w:t>
      </w:r>
    </w:p>
    <w:p w14:paraId="7F67F41D" w14:textId="77777777" w:rsidR="00C25C7D" w:rsidRPr="008B4DA8" w:rsidRDefault="00C25C7D" w:rsidP="00360FB0">
      <w:pPr>
        <w:pStyle w:val="BodyText"/>
        <w:jc w:val="both"/>
        <w:rPr>
          <w:rFonts w:cs="Arial"/>
          <w:i w:val="0"/>
          <w:sz w:val="20"/>
        </w:rPr>
      </w:pPr>
      <w:r w:rsidRPr="008B4DA8">
        <w:rPr>
          <w:rFonts w:cs="Arial"/>
          <w:i w:val="0"/>
          <w:sz w:val="20"/>
        </w:rPr>
        <w:t>3-way meetings are a vital part of the BA (Hons) YCW’s approach to ensuring good quality fieldwork / work-based learning experiences, including meaningful developmental supervision. All Fieldwork Tutors involved in these meetings are JNC-qualified teaching staff from within the University’s Youth and Community Work team. The 3-way visits are allocated to the Tutors on a geographical basis. The meetings are a vital part of the Courses for the following reasons:</w:t>
      </w:r>
    </w:p>
    <w:p w14:paraId="520CEB81" w14:textId="77777777" w:rsidR="00C25C7D" w:rsidRPr="008B4DA8" w:rsidRDefault="00C25C7D" w:rsidP="00360FB0">
      <w:pPr>
        <w:jc w:val="both"/>
        <w:rPr>
          <w:rFonts w:cs="Arial"/>
          <w:sz w:val="20"/>
        </w:rPr>
      </w:pPr>
    </w:p>
    <w:p w14:paraId="54B38E27" w14:textId="77777777" w:rsidR="00C25C7D" w:rsidRPr="008B4DA8" w:rsidRDefault="00C25C7D" w:rsidP="00BC6421">
      <w:pPr>
        <w:numPr>
          <w:ilvl w:val="0"/>
          <w:numId w:val="7"/>
        </w:numPr>
        <w:jc w:val="both"/>
        <w:rPr>
          <w:rFonts w:cs="Arial"/>
          <w:sz w:val="20"/>
        </w:rPr>
      </w:pPr>
      <w:r w:rsidRPr="008B4DA8">
        <w:rPr>
          <w:rFonts w:cs="Arial"/>
          <w:sz w:val="20"/>
        </w:rPr>
        <w:t>The first meeting enables further training / clarification / orientation for the Fieldwork Supervisor, including the roles and responsibilities of all concerned;</w:t>
      </w:r>
    </w:p>
    <w:p w14:paraId="0761434A" w14:textId="77777777" w:rsidR="00C25C7D" w:rsidRPr="008B4DA8" w:rsidRDefault="00C25C7D" w:rsidP="00360FB0">
      <w:pPr>
        <w:jc w:val="both"/>
        <w:rPr>
          <w:rFonts w:cs="Arial"/>
          <w:sz w:val="20"/>
        </w:rPr>
      </w:pPr>
    </w:p>
    <w:p w14:paraId="395F2E8C" w14:textId="77777777" w:rsidR="00C25C7D" w:rsidRPr="008B4DA8" w:rsidRDefault="00C25C7D" w:rsidP="00BC6421">
      <w:pPr>
        <w:numPr>
          <w:ilvl w:val="0"/>
          <w:numId w:val="4"/>
        </w:numPr>
        <w:jc w:val="both"/>
        <w:rPr>
          <w:rFonts w:cs="Arial"/>
          <w:sz w:val="20"/>
        </w:rPr>
      </w:pPr>
      <w:r w:rsidRPr="008B4DA8">
        <w:rPr>
          <w:rFonts w:cs="Arial"/>
          <w:sz w:val="20"/>
        </w:rPr>
        <w:t>The first meeting includes in-depth exploration of the learning needs of the Student which links directly with the completion of the Agreement;</w:t>
      </w:r>
    </w:p>
    <w:p w14:paraId="13898156" w14:textId="77777777" w:rsidR="00C25C7D" w:rsidRPr="008B4DA8" w:rsidRDefault="00C25C7D" w:rsidP="00360FB0">
      <w:pPr>
        <w:jc w:val="both"/>
        <w:rPr>
          <w:rFonts w:cs="Arial"/>
          <w:sz w:val="20"/>
        </w:rPr>
      </w:pPr>
    </w:p>
    <w:p w14:paraId="1D3376DE" w14:textId="77777777" w:rsidR="00C25C7D" w:rsidRPr="008B4DA8" w:rsidRDefault="00C25C7D" w:rsidP="00BC6421">
      <w:pPr>
        <w:numPr>
          <w:ilvl w:val="0"/>
          <w:numId w:val="4"/>
        </w:numPr>
        <w:jc w:val="both"/>
        <w:rPr>
          <w:rFonts w:cs="Arial"/>
          <w:sz w:val="20"/>
        </w:rPr>
      </w:pPr>
      <w:r w:rsidRPr="008B4DA8">
        <w:rPr>
          <w:rFonts w:cs="Arial"/>
          <w:sz w:val="20"/>
        </w:rPr>
        <w:t>Subsequent meetings provide scope for in-depth discussion of the Student’s ongoing learning and the identification of subsequent placement possibilities;</w:t>
      </w:r>
    </w:p>
    <w:p w14:paraId="5A63E615" w14:textId="77777777" w:rsidR="00C25C7D" w:rsidRPr="008B4DA8" w:rsidRDefault="00C25C7D" w:rsidP="00360FB0">
      <w:pPr>
        <w:jc w:val="both"/>
        <w:rPr>
          <w:rFonts w:cs="Arial"/>
          <w:sz w:val="20"/>
        </w:rPr>
      </w:pPr>
    </w:p>
    <w:p w14:paraId="457E9FC0" w14:textId="77777777" w:rsidR="00C25C7D" w:rsidRPr="008B4DA8" w:rsidRDefault="00C25C7D" w:rsidP="00BC6421">
      <w:pPr>
        <w:numPr>
          <w:ilvl w:val="0"/>
          <w:numId w:val="4"/>
        </w:numPr>
        <w:jc w:val="both"/>
        <w:rPr>
          <w:rFonts w:cs="Arial"/>
          <w:sz w:val="20"/>
        </w:rPr>
      </w:pPr>
      <w:r w:rsidRPr="008B4DA8">
        <w:rPr>
          <w:rFonts w:cs="Arial"/>
          <w:sz w:val="20"/>
        </w:rPr>
        <w:t>Areas for development / tasks for completion are identified;</w:t>
      </w:r>
    </w:p>
    <w:p w14:paraId="25C366B6" w14:textId="77777777" w:rsidR="00C25C7D" w:rsidRPr="008B4DA8" w:rsidRDefault="00C25C7D" w:rsidP="00360FB0">
      <w:pPr>
        <w:jc w:val="both"/>
        <w:rPr>
          <w:rFonts w:cs="Arial"/>
          <w:sz w:val="20"/>
        </w:rPr>
      </w:pPr>
    </w:p>
    <w:p w14:paraId="5448256A" w14:textId="77777777" w:rsidR="00C25C7D" w:rsidRPr="008B4DA8" w:rsidRDefault="00C25C7D" w:rsidP="00BC6421">
      <w:pPr>
        <w:numPr>
          <w:ilvl w:val="0"/>
          <w:numId w:val="4"/>
        </w:numPr>
        <w:jc w:val="both"/>
        <w:rPr>
          <w:rFonts w:cs="Arial"/>
          <w:sz w:val="20"/>
        </w:rPr>
      </w:pPr>
      <w:r w:rsidRPr="008B4DA8">
        <w:rPr>
          <w:rFonts w:cs="Arial"/>
          <w:sz w:val="20"/>
        </w:rPr>
        <w:t xml:space="preserve">Each year’s final meeting provides the opportunity for summative discussion of the Student’s learning and development. </w:t>
      </w:r>
      <w:r w:rsidR="00E34896">
        <w:rPr>
          <w:rFonts w:cs="Arial"/>
          <w:sz w:val="20"/>
        </w:rPr>
        <w:t xml:space="preserve">This may be conducted by phone, </w:t>
      </w:r>
      <w:r w:rsidR="00A363CE">
        <w:rPr>
          <w:rFonts w:cs="Arial"/>
          <w:sz w:val="20"/>
        </w:rPr>
        <w:t>synchronous communication</w:t>
      </w:r>
      <w:r w:rsidR="00E34896">
        <w:rPr>
          <w:rFonts w:cs="Arial"/>
          <w:sz w:val="20"/>
        </w:rPr>
        <w:t xml:space="preserve"> or using email where appropriate. </w:t>
      </w:r>
      <w:r w:rsidRPr="008B4DA8">
        <w:rPr>
          <w:rFonts w:cs="Arial"/>
          <w:sz w:val="20"/>
        </w:rPr>
        <w:t>This links with / feeds into the Fieldwork Supervisor’s completion of the report;</w:t>
      </w:r>
    </w:p>
    <w:p w14:paraId="6ED0306B" w14:textId="77777777" w:rsidR="00C25C7D" w:rsidRPr="008B4DA8" w:rsidRDefault="00C25C7D" w:rsidP="00360FB0">
      <w:pPr>
        <w:jc w:val="both"/>
        <w:rPr>
          <w:rFonts w:cs="Arial"/>
          <w:sz w:val="20"/>
        </w:rPr>
      </w:pPr>
    </w:p>
    <w:p w14:paraId="43DE5BB4" w14:textId="77777777" w:rsidR="00C25C7D" w:rsidRPr="008B4DA8" w:rsidRDefault="00C25C7D" w:rsidP="00BC6421">
      <w:pPr>
        <w:numPr>
          <w:ilvl w:val="0"/>
          <w:numId w:val="4"/>
        </w:numPr>
        <w:jc w:val="both"/>
        <w:rPr>
          <w:rFonts w:cs="Arial"/>
          <w:sz w:val="20"/>
        </w:rPr>
      </w:pPr>
      <w:r w:rsidRPr="008B4DA8">
        <w:rPr>
          <w:rFonts w:cs="Arial"/>
          <w:sz w:val="20"/>
        </w:rPr>
        <w:t>Meetings provide direct contact between the University and the professional field, including their premises, so keeping University staff in touch with the changing needs and realities of the professional field.</w:t>
      </w:r>
    </w:p>
    <w:p w14:paraId="4470D258" w14:textId="77777777" w:rsidR="00C25C7D" w:rsidRPr="008B4DA8" w:rsidRDefault="00C25C7D" w:rsidP="00360FB0">
      <w:pPr>
        <w:jc w:val="both"/>
        <w:rPr>
          <w:rFonts w:cs="Arial"/>
          <w:sz w:val="20"/>
        </w:rPr>
      </w:pPr>
    </w:p>
    <w:p w14:paraId="37425E86" w14:textId="77777777" w:rsidR="00C25C7D" w:rsidRPr="008B4DA8" w:rsidRDefault="00C25C7D" w:rsidP="00360FB0">
      <w:pPr>
        <w:jc w:val="both"/>
        <w:rPr>
          <w:rFonts w:cs="Arial"/>
          <w:sz w:val="20"/>
        </w:rPr>
      </w:pPr>
      <w:r w:rsidRPr="008B4DA8">
        <w:rPr>
          <w:rFonts w:cs="Arial"/>
          <w:sz w:val="20"/>
        </w:rPr>
        <w:t xml:space="preserve">Before the first 3-way meeting, the Student and Fieldwork Supervisor will discuss and draft the Fieldwork Placement Agreement. The relevant proforma is included in the Fieldwork Handbook and is also provided electronically. The Agreement should be renegotiated on a regular basis in the light of the Student’s learning and any other changes in circumstances. </w:t>
      </w:r>
    </w:p>
    <w:p w14:paraId="08310B62" w14:textId="77777777" w:rsidR="00C25C7D" w:rsidRPr="008B4DA8" w:rsidRDefault="00C25C7D" w:rsidP="00360FB0">
      <w:pPr>
        <w:jc w:val="both"/>
        <w:rPr>
          <w:rFonts w:cs="Arial"/>
          <w:sz w:val="20"/>
        </w:rPr>
      </w:pPr>
    </w:p>
    <w:p w14:paraId="5C8E53C4" w14:textId="77777777" w:rsidR="00C25C7D" w:rsidRPr="008B4DA8" w:rsidRDefault="00C25C7D" w:rsidP="00360FB0">
      <w:pPr>
        <w:jc w:val="both"/>
        <w:rPr>
          <w:rFonts w:cs="Arial"/>
          <w:sz w:val="20"/>
        </w:rPr>
      </w:pPr>
      <w:r w:rsidRPr="008B4DA8">
        <w:rPr>
          <w:rFonts w:cs="Arial"/>
          <w:sz w:val="20"/>
        </w:rPr>
        <w:t>The aim of each meeting is to discuss:</w:t>
      </w:r>
    </w:p>
    <w:p w14:paraId="5B3063A3" w14:textId="77777777" w:rsidR="00C25C7D" w:rsidRPr="008B4DA8" w:rsidRDefault="00C25C7D" w:rsidP="00360FB0">
      <w:pPr>
        <w:jc w:val="both"/>
        <w:rPr>
          <w:rFonts w:cs="Arial"/>
          <w:sz w:val="20"/>
        </w:rPr>
      </w:pPr>
    </w:p>
    <w:p w14:paraId="6A6B5175" w14:textId="77777777" w:rsidR="00C25C7D" w:rsidRPr="008B4DA8" w:rsidRDefault="00C25C7D" w:rsidP="00BC6421">
      <w:pPr>
        <w:numPr>
          <w:ilvl w:val="0"/>
          <w:numId w:val="5"/>
        </w:numPr>
        <w:jc w:val="both"/>
        <w:rPr>
          <w:rFonts w:cs="Arial"/>
          <w:sz w:val="20"/>
        </w:rPr>
      </w:pPr>
      <w:r w:rsidRPr="008B4DA8">
        <w:rPr>
          <w:rFonts w:cs="Arial"/>
          <w:sz w:val="20"/>
        </w:rPr>
        <w:t>The progress of the Student, using the Fieldwork Placement Agreement and the module outcomes;</w:t>
      </w:r>
    </w:p>
    <w:p w14:paraId="3220EF43" w14:textId="77777777" w:rsidR="00C25C7D" w:rsidRPr="008B4DA8" w:rsidRDefault="00C25C7D" w:rsidP="00360FB0">
      <w:pPr>
        <w:jc w:val="both"/>
        <w:rPr>
          <w:rFonts w:cs="Arial"/>
          <w:sz w:val="20"/>
        </w:rPr>
      </w:pPr>
    </w:p>
    <w:p w14:paraId="3487BD8C" w14:textId="77777777" w:rsidR="00C25C7D" w:rsidRPr="008B4DA8" w:rsidRDefault="00C25C7D" w:rsidP="00BC6421">
      <w:pPr>
        <w:numPr>
          <w:ilvl w:val="0"/>
          <w:numId w:val="5"/>
        </w:numPr>
        <w:jc w:val="both"/>
        <w:rPr>
          <w:rFonts w:cs="Arial"/>
          <w:sz w:val="20"/>
        </w:rPr>
      </w:pPr>
      <w:r w:rsidRPr="008B4DA8">
        <w:rPr>
          <w:rFonts w:cs="Arial"/>
          <w:sz w:val="20"/>
        </w:rPr>
        <w:t>Ways in which the Student is developing relevant skills, knowledge and values and producing evidence towards meeting their learning needs and module outcomes;</w:t>
      </w:r>
    </w:p>
    <w:p w14:paraId="567F8664" w14:textId="77777777" w:rsidR="00C25C7D" w:rsidRPr="008B4DA8" w:rsidRDefault="00C25C7D" w:rsidP="00360FB0">
      <w:pPr>
        <w:jc w:val="both"/>
        <w:rPr>
          <w:rFonts w:cs="Arial"/>
          <w:sz w:val="20"/>
        </w:rPr>
      </w:pPr>
    </w:p>
    <w:p w14:paraId="75537EB2" w14:textId="77777777" w:rsidR="00C25C7D" w:rsidRPr="008B4DA8" w:rsidRDefault="00C25C7D" w:rsidP="00BC6421">
      <w:pPr>
        <w:numPr>
          <w:ilvl w:val="0"/>
          <w:numId w:val="5"/>
        </w:numPr>
        <w:jc w:val="both"/>
        <w:rPr>
          <w:rFonts w:cs="Arial"/>
          <w:sz w:val="20"/>
        </w:rPr>
      </w:pPr>
      <w:r w:rsidRPr="008B4DA8">
        <w:rPr>
          <w:rFonts w:cs="Arial"/>
          <w:sz w:val="20"/>
        </w:rPr>
        <w:lastRenderedPageBreak/>
        <w:t>The progress of the Student from the Student’s and the Fieldwork Supervisor’s perspectives, including the Student’s progress towards professional competence;</w:t>
      </w:r>
    </w:p>
    <w:p w14:paraId="1F3060BC" w14:textId="77777777" w:rsidR="00C25C7D" w:rsidRPr="008B4DA8" w:rsidRDefault="00C25C7D" w:rsidP="00360FB0">
      <w:pPr>
        <w:jc w:val="both"/>
        <w:rPr>
          <w:rFonts w:cs="Arial"/>
          <w:sz w:val="20"/>
        </w:rPr>
      </w:pPr>
    </w:p>
    <w:p w14:paraId="1DFBDFB2" w14:textId="77777777" w:rsidR="00C25C7D" w:rsidRPr="008B4DA8" w:rsidRDefault="00C25C7D" w:rsidP="00BC6421">
      <w:pPr>
        <w:numPr>
          <w:ilvl w:val="0"/>
          <w:numId w:val="5"/>
        </w:numPr>
        <w:jc w:val="both"/>
        <w:rPr>
          <w:rFonts w:cs="Arial"/>
          <w:sz w:val="20"/>
        </w:rPr>
      </w:pPr>
      <w:r w:rsidRPr="008B4DA8">
        <w:rPr>
          <w:rFonts w:cs="Arial"/>
          <w:sz w:val="20"/>
        </w:rPr>
        <w:t>Any area of concern presented by the Student, the Fieldwork Supervisor or the Fieldwork Tutor.</w:t>
      </w:r>
    </w:p>
    <w:p w14:paraId="62C16982" w14:textId="77777777" w:rsidR="00C25C7D" w:rsidRPr="008B4DA8" w:rsidRDefault="00C25C7D" w:rsidP="00360FB0">
      <w:pPr>
        <w:jc w:val="both"/>
        <w:rPr>
          <w:rFonts w:cs="Arial"/>
          <w:sz w:val="20"/>
        </w:rPr>
      </w:pPr>
    </w:p>
    <w:p w14:paraId="30F982C2" w14:textId="77777777" w:rsidR="00C25C7D" w:rsidRPr="008B4DA8" w:rsidRDefault="00C25C7D" w:rsidP="00360FB0">
      <w:pPr>
        <w:jc w:val="both"/>
        <w:rPr>
          <w:rFonts w:cs="Arial"/>
          <w:sz w:val="20"/>
        </w:rPr>
      </w:pPr>
      <w:r w:rsidRPr="008B4DA8">
        <w:rPr>
          <w:rFonts w:cs="Arial"/>
          <w:sz w:val="20"/>
        </w:rPr>
        <w:t xml:space="preserve">The Fieldwork Tutor takes responsibility for taking notes during the meeting using a specially designed format. The notes are agreed at the end of each meeting, confirmed by all parties and the Fieldwork Supervisor, Student and Fieldwork Tutor each has a copy for future reference. </w:t>
      </w:r>
    </w:p>
    <w:p w14:paraId="6F1A20D8" w14:textId="77777777" w:rsidR="00C25C7D" w:rsidRPr="008B4DA8" w:rsidRDefault="00C25C7D" w:rsidP="00360FB0">
      <w:pPr>
        <w:jc w:val="both"/>
        <w:rPr>
          <w:rFonts w:cs="Arial"/>
          <w:sz w:val="20"/>
        </w:rPr>
      </w:pPr>
    </w:p>
    <w:p w14:paraId="586AEC8A" w14:textId="77777777" w:rsidR="00C25C7D" w:rsidRPr="00B3381F" w:rsidRDefault="00C25C7D" w:rsidP="00B3381F">
      <w:pPr>
        <w:rPr>
          <w:b/>
          <w:sz w:val="22"/>
        </w:rPr>
      </w:pPr>
      <w:r w:rsidRPr="00B3381F">
        <w:rPr>
          <w:b/>
          <w:sz w:val="22"/>
        </w:rPr>
        <w:t>STAFFING</w:t>
      </w:r>
      <w:r w:rsidR="00B065EC" w:rsidRPr="00B3381F">
        <w:rPr>
          <w:b/>
          <w:sz w:val="22"/>
        </w:rPr>
        <w:t xml:space="preserve"> AND MANAGEMENT</w:t>
      </w:r>
    </w:p>
    <w:p w14:paraId="19013D88" w14:textId="77777777" w:rsidR="00C25C7D" w:rsidRPr="008B4DA8" w:rsidRDefault="00C25C7D" w:rsidP="00360FB0">
      <w:pPr>
        <w:jc w:val="both"/>
        <w:rPr>
          <w:rFonts w:cs="Arial"/>
          <w:sz w:val="20"/>
        </w:rPr>
      </w:pPr>
    </w:p>
    <w:p w14:paraId="5FA24440" w14:textId="77777777" w:rsidR="00C25C7D" w:rsidRPr="008B4DA8" w:rsidRDefault="00C25C7D" w:rsidP="00360FB0">
      <w:pPr>
        <w:jc w:val="both"/>
        <w:rPr>
          <w:rFonts w:cs="Arial"/>
          <w:sz w:val="20"/>
        </w:rPr>
      </w:pPr>
      <w:r w:rsidRPr="008B4DA8">
        <w:rPr>
          <w:rFonts w:cs="Arial"/>
          <w:sz w:val="20"/>
        </w:rPr>
        <w:t>The Course involves staff taking on the following roles:</w:t>
      </w:r>
    </w:p>
    <w:p w14:paraId="6F212DC7" w14:textId="77777777" w:rsidR="00C25C7D" w:rsidRPr="008B4DA8" w:rsidRDefault="00C25C7D" w:rsidP="00BC6421">
      <w:pPr>
        <w:numPr>
          <w:ilvl w:val="0"/>
          <w:numId w:val="8"/>
        </w:numPr>
        <w:jc w:val="both"/>
        <w:rPr>
          <w:rFonts w:cs="Arial"/>
          <w:sz w:val="20"/>
        </w:rPr>
      </w:pPr>
      <w:r w:rsidRPr="008B4DA8">
        <w:rPr>
          <w:rFonts w:cs="Arial"/>
          <w:sz w:val="20"/>
        </w:rPr>
        <w:t>Course Leader</w:t>
      </w:r>
    </w:p>
    <w:p w14:paraId="66E62606" w14:textId="77777777" w:rsidR="00C25C7D" w:rsidRPr="008B4DA8" w:rsidRDefault="00C25C7D" w:rsidP="00BC6421">
      <w:pPr>
        <w:numPr>
          <w:ilvl w:val="0"/>
          <w:numId w:val="8"/>
        </w:numPr>
        <w:jc w:val="both"/>
        <w:rPr>
          <w:rFonts w:cs="Arial"/>
          <w:sz w:val="20"/>
        </w:rPr>
      </w:pPr>
      <w:r w:rsidRPr="008B4DA8">
        <w:rPr>
          <w:rFonts w:cs="Arial"/>
          <w:sz w:val="20"/>
        </w:rPr>
        <w:t>Examinations Tutor</w:t>
      </w:r>
    </w:p>
    <w:p w14:paraId="264DA267" w14:textId="77777777" w:rsidR="00C25C7D" w:rsidRPr="008B4DA8" w:rsidRDefault="00C25C7D" w:rsidP="00BC6421">
      <w:pPr>
        <w:numPr>
          <w:ilvl w:val="0"/>
          <w:numId w:val="8"/>
        </w:numPr>
        <w:jc w:val="both"/>
        <w:rPr>
          <w:rFonts w:cs="Arial"/>
          <w:sz w:val="20"/>
        </w:rPr>
      </w:pPr>
      <w:r w:rsidRPr="008B4DA8">
        <w:rPr>
          <w:rFonts w:cs="Arial"/>
          <w:sz w:val="20"/>
        </w:rPr>
        <w:t>Admissions Tutor</w:t>
      </w:r>
    </w:p>
    <w:p w14:paraId="0B5C0451" w14:textId="77777777" w:rsidR="00C25C7D" w:rsidRPr="008B4DA8" w:rsidRDefault="00C25C7D" w:rsidP="00BC6421">
      <w:pPr>
        <w:numPr>
          <w:ilvl w:val="0"/>
          <w:numId w:val="8"/>
        </w:numPr>
        <w:jc w:val="both"/>
        <w:rPr>
          <w:rFonts w:cs="Arial"/>
          <w:sz w:val="20"/>
        </w:rPr>
      </w:pPr>
      <w:r w:rsidRPr="008B4DA8">
        <w:rPr>
          <w:rFonts w:cs="Arial"/>
          <w:sz w:val="20"/>
        </w:rPr>
        <w:t xml:space="preserve">Fieldwork Manager </w:t>
      </w:r>
    </w:p>
    <w:p w14:paraId="641E420F" w14:textId="77777777" w:rsidR="00C25C7D" w:rsidRPr="008B4DA8" w:rsidRDefault="00C25C7D" w:rsidP="00BC6421">
      <w:pPr>
        <w:numPr>
          <w:ilvl w:val="0"/>
          <w:numId w:val="8"/>
        </w:numPr>
        <w:jc w:val="both"/>
        <w:rPr>
          <w:rFonts w:cs="Arial"/>
          <w:sz w:val="20"/>
        </w:rPr>
      </w:pPr>
      <w:r w:rsidRPr="008B4DA8">
        <w:rPr>
          <w:rFonts w:cs="Arial"/>
          <w:sz w:val="20"/>
        </w:rPr>
        <w:t>Module Leader</w:t>
      </w:r>
    </w:p>
    <w:p w14:paraId="77D920D9" w14:textId="77777777" w:rsidR="00C25C7D" w:rsidRPr="008B4DA8" w:rsidRDefault="00C25C7D" w:rsidP="00BC6421">
      <w:pPr>
        <w:numPr>
          <w:ilvl w:val="0"/>
          <w:numId w:val="8"/>
        </w:numPr>
        <w:jc w:val="both"/>
        <w:rPr>
          <w:rFonts w:cs="Arial"/>
          <w:sz w:val="20"/>
        </w:rPr>
      </w:pPr>
      <w:r w:rsidRPr="008B4DA8">
        <w:rPr>
          <w:rFonts w:cs="Arial"/>
          <w:sz w:val="20"/>
        </w:rPr>
        <w:t>Module Tutor</w:t>
      </w:r>
    </w:p>
    <w:p w14:paraId="5FCE1825" w14:textId="77777777" w:rsidR="00C25C7D" w:rsidRPr="008B4DA8" w:rsidRDefault="00C25C7D" w:rsidP="00360FB0">
      <w:pPr>
        <w:jc w:val="both"/>
        <w:rPr>
          <w:rFonts w:cs="Arial"/>
          <w:sz w:val="20"/>
        </w:rPr>
      </w:pPr>
    </w:p>
    <w:p w14:paraId="00813244" w14:textId="77777777" w:rsidR="00C25C7D" w:rsidRDefault="00C25C7D" w:rsidP="00360FB0">
      <w:pPr>
        <w:pStyle w:val="BodyText"/>
        <w:jc w:val="both"/>
        <w:rPr>
          <w:rFonts w:cs="Arial"/>
          <w:i w:val="0"/>
          <w:sz w:val="20"/>
        </w:rPr>
      </w:pPr>
      <w:r w:rsidRPr="008B4DA8">
        <w:rPr>
          <w:rFonts w:cs="Arial"/>
          <w:i w:val="0"/>
          <w:sz w:val="20"/>
        </w:rPr>
        <w:t>In most cases, members of staff are likely to take on the same roles for both the full time and in-service BA (Hons) YCW where this will ensure coherence and promote the smooth running of the courses.</w:t>
      </w:r>
    </w:p>
    <w:p w14:paraId="7772009D" w14:textId="77777777" w:rsidR="00B065EC" w:rsidRDefault="00B065EC" w:rsidP="00360FB0">
      <w:pPr>
        <w:pStyle w:val="BodyText"/>
        <w:jc w:val="both"/>
        <w:rPr>
          <w:rFonts w:cs="Arial"/>
          <w:i w:val="0"/>
          <w:sz w:val="20"/>
        </w:rPr>
      </w:pPr>
    </w:p>
    <w:p w14:paraId="6B8E83CA" w14:textId="77777777" w:rsidR="00B065EC" w:rsidRPr="00360FB0" w:rsidRDefault="00B065EC" w:rsidP="00360FB0">
      <w:pPr>
        <w:pStyle w:val="BodyText"/>
        <w:jc w:val="both"/>
        <w:rPr>
          <w:rFonts w:cs="Arial"/>
          <w:b/>
          <w:i w:val="0"/>
          <w:sz w:val="20"/>
        </w:rPr>
      </w:pPr>
      <w:r w:rsidRPr="00360FB0">
        <w:rPr>
          <w:rFonts w:cs="Arial"/>
          <w:b/>
          <w:i w:val="0"/>
          <w:sz w:val="20"/>
        </w:rPr>
        <w:t>Equality and Diversity</w:t>
      </w:r>
    </w:p>
    <w:p w14:paraId="5562D265" w14:textId="77777777" w:rsidR="00B065EC" w:rsidRPr="00360FB0" w:rsidRDefault="00B065EC" w:rsidP="00360FB0">
      <w:pPr>
        <w:pStyle w:val="BodyText"/>
        <w:jc w:val="both"/>
        <w:rPr>
          <w:rFonts w:cs="Arial"/>
          <w:i w:val="0"/>
          <w:sz w:val="20"/>
        </w:rPr>
      </w:pPr>
      <w:r w:rsidRPr="00360FB0">
        <w:rPr>
          <w:rFonts w:cs="Arial"/>
          <w:i w:val="0"/>
          <w:sz w:val="20"/>
        </w:rPr>
        <w:t>The School of Education and Professional Development operates within the University’s Disability Discrimination and Equal Opportunities policies and a commitment to these policies are stated within the general aims of the school.</w:t>
      </w:r>
    </w:p>
    <w:p w14:paraId="4B2E49D4" w14:textId="77777777" w:rsidR="00B065EC" w:rsidRPr="00360FB0" w:rsidRDefault="00B065EC" w:rsidP="00360FB0">
      <w:pPr>
        <w:pStyle w:val="BodyText"/>
        <w:jc w:val="both"/>
        <w:rPr>
          <w:rFonts w:cs="Arial"/>
          <w:i w:val="0"/>
          <w:sz w:val="20"/>
        </w:rPr>
      </w:pPr>
    </w:p>
    <w:p w14:paraId="49D31B63" w14:textId="77777777" w:rsidR="00B065EC" w:rsidRPr="00360FB0" w:rsidRDefault="00B065EC" w:rsidP="00360FB0">
      <w:pPr>
        <w:pStyle w:val="BodyText"/>
        <w:jc w:val="both"/>
        <w:rPr>
          <w:rFonts w:cs="Arial"/>
          <w:b/>
          <w:i w:val="0"/>
          <w:sz w:val="20"/>
        </w:rPr>
      </w:pPr>
      <w:r w:rsidRPr="00360FB0">
        <w:rPr>
          <w:rFonts w:cs="Arial"/>
          <w:b/>
          <w:i w:val="0"/>
          <w:sz w:val="20"/>
        </w:rPr>
        <w:t>Environmental Sustainability</w:t>
      </w:r>
    </w:p>
    <w:p w14:paraId="42CE88D8" w14:textId="77777777" w:rsidR="00B065EC" w:rsidRPr="00360FB0" w:rsidRDefault="00B065EC" w:rsidP="00360FB0">
      <w:pPr>
        <w:pStyle w:val="BodyText"/>
        <w:jc w:val="both"/>
        <w:rPr>
          <w:rFonts w:cs="Arial"/>
          <w:i w:val="0"/>
          <w:sz w:val="20"/>
        </w:rPr>
      </w:pPr>
      <w:r w:rsidRPr="00360FB0">
        <w:rPr>
          <w:rFonts w:cs="Arial"/>
          <w:i w:val="0"/>
          <w:sz w:val="20"/>
        </w:rPr>
        <w:t xml:space="preserve">The course operates within, and has a commitment to, the school ethos for sustainability.  This is achieved through VLE and attention to minimising printing of handouts. </w:t>
      </w:r>
    </w:p>
    <w:p w14:paraId="0864A52F" w14:textId="4628139D" w:rsidR="00B3381F" w:rsidRDefault="00B3381F">
      <w:pPr>
        <w:rPr>
          <w:rFonts w:cs="Arial"/>
          <w:sz w:val="20"/>
        </w:rPr>
      </w:pPr>
      <w:r>
        <w:rPr>
          <w:rFonts w:cs="Arial"/>
          <w:i/>
          <w:sz w:val="20"/>
        </w:rPr>
        <w:br w:type="page"/>
      </w:r>
    </w:p>
    <w:p w14:paraId="7741E86D" w14:textId="77777777" w:rsidR="00B3381F" w:rsidRDefault="00B3381F" w:rsidP="00B3381F">
      <w:pPr>
        <w:autoSpaceDE w:val="0"/>
        <w:autoSpaceDN w:val="0"/>
        <w:adjustRightInd w:val="0"/>
        <w:rPr>
          <w:rFonts w:eastAsia="Calibri" w:cs="Arial"/>
          <w:b/>
          <w:sz w:val="22"/>
          <w:szCs w:val="22"/>
          <w:lang w:eastAsia="en-US"/>
        </w:rPr>
        <w:sectPr w:rsidR="00B3381F" w:rsidSect="00C25C7D">
          <w:type w:val="continuous"/>
          <w:pgSz w:w="11900" w:h="16840"/>
          <w:pgMar w:top="1418" w:right="1418" w:bottom="1418" w:left="1418" w:header="720" w:footer="720" w:gutter="0"/>
          <w:cols w:space="720"/>
        </w:sectPr>
      </w:pPr>
    </w:p>
    <w:p w14:paraId="40CEB1E1" w14:textId="6A7442FB" w:rsidR="00B3381F" w:rsidRDefault="00B3381F" w:rsidP="00B3381F">
      <w:pPr>
        <w:pStyle w:val="Heading2"/>
        <w:numPr>
          <w:ilvl w:val="0"/>
          <w:numId w:val="0"/>
        </w:numPr>
        <w:ind w:left="576" w:hanging="576"/>
        <w:rPr>
          <w:rFonts w:eastAsia="Calibri"/>
          <w:lang w:eastAsia="en-US"/>
        </w:rPr>
      </w:pPr>
      <w:r w:rsidRPr="00B3381F">
        <w:rPr>
          <w:rFonts w:eastAsia="Calibri"/>
          <w:lang w:eastAsia="en-US"/>
        </w:rPr>
        <w:t xml:space="preserve">Appendix </w:t>
      </w:r>
      <w:r>
        <w:rPr>
          <w:rFonts w:eastAsia="Calibri"/>
          <w:lang w:eastAsia="en-US"/>
        </w:rPr>
        <w:t>1</w:t>
      </w:r>
      <w:r w:rsidRPr="00B3381F">
        <w:rPr>
          <w:rFonts w:eastAsia="Calibri"/>
          <w:lang w:eastAsia="en-US"/>
        </w:rPr>
        <w:t xml:space="preserve"> Subject Benchmark Mapping</w:t>
      </w:r>
    </w:p>
    <w:p w14:paraId="093A7C6A" w14:textId="77777777" w:rsidR="00B3381F" w:rsidRPr="00B3381F" w:rsidRDefault="00B3381F" w:rsidP="00B3381F">
      <w:pPr>
        <w:autoSpaceDE w:val="0"/>
        <w:autoSpaceDN w:val="0"/>
        <w:adjustRightInd w:val="0"/>
        <w:rPr>
          <w:rFonts w:eastAsia="Calibri" w:cs="Arial"/>
          <w:b/>
          <w:sz w:val="22"/>
          <w:szCs w:val="22"/>
          <w:lang w:eastAsia="en-US"/>
        </w:rPr>
      </w:pPr>
    </w:p>
    <w:p w14:paraId="548AD5A9" w14:textId="77777777" w:rsidR="00B3381F" w:rsidRPr="00B3381F" w:rsidRDefault="00B3381F" w:rsidP="00B3381F">
      <w:pPr>
        <w:autoSpaceDE w:val="0"/>
        <w:autoSpaceDN w:val="0"/>
        <w:adjustRightInd w:val="0"/>
        <w:rPr>
          <w:rFonts w:eastAsia="Calibri" w:cs="Arial"/>
          <w:b/>
          <w:sz w:val="22"/>
          <w:szCs w:val="22"/>
          <w:lang w:eastAsia="en-US"/>
        </w:rPr>
      </w:pPr>
      <w:r w:rsidRPr="00B3381F">
        <w:rPr>
          <w:rFonts w:eastAsia="Calibri" w:cs="Arial"/>
          <w:b/>
          <w:sz w:val="22"/>
          <w:szCs w:val="22"/>
          <w:lang w:eastAsia="en-US"/>
        </w:rPr>
        <w:t>Youth and Community Work 2019 Subject benchmark statements mapped against the Course Learning Outcomes</w:t>
      </w:r>
    </w:p>
    <w:p w14:paraId="6D3394D3" w14:textId="77777777" w:rsidR="00B3381F" w:rsidRPr="00B3381F" w:rsidRDefault="00B3381F" w:rsidP="00B3381F">
      <w:pPr>
        <w:rPr>
          <w:rFonts w:ascii="Calibri" w:eastAsia="Calibri" w:hAnsi="Calibri"/>
          <w:sz w:val="22"/>
          <w:szCs w:val="22"/>
          <w:lang w:eastAsia="en-US"/>
        </w:rPr>
      </w:pPr>
    </w:p>
    <w:tbl>
      <w:tblPr>
        <w:tblStyle w:val="TableGrid2"/>
        <w:tblW w:w="14317" w:type="dxa"/>
        <w:tblInd w:w="-147" w:type="dxa"/>
        <w:tblLayout w:type="fixed"/>
        <w:tblLook w:val="04A0" w:firstRow="1" w:lastRow="0" w:firstColumn="1" w:lastColumn="0" w:noHBand="0" w:noVBand="1"/>
      </w:tblPr>
      <w:tblGrid>
        <w:gridCol w:w="4025"/>
        <w:gridCol w:w="370"/>
        <w:gridCol w:w="33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56"/>
      </w:tblGrid>
      <w:tr w:rsidR="00B3381F" w:rsidRPr="00B3381F" w14:paraId="6D03346E" w14:textId="77777777" w:rsidTr="00BC6421">
        <w:trPr>
          <w:tblHeader/>
        </w:trPr>
        <w:tc>
          <w:tcPr>
            <w:tcW w:w="4025" w:type="dxa"/>
            <w:vMerge w:val="restart"/>
            <w:shd w:val="clear" w:color="auto" w:fill="D9D9D9" w:themeFill="background1" w:themeFillShade="D9"/>
          </w:tcPr>
          <w:p w14:paraId="6EE15A16" w14:textId="77777777" w:rsidR="00B3381F" w:rsidRPr="00B3381F" w:rsidRDefault="00B3381F" w:rsidP="00B3381F">
            <w:pPr>
              <w:spacing w:before="120" w:after="120" w:line="256" w:lineRule="auto"/>
              <w:rPr>
                <w:rFonts w:ascii="Calibri" w:eastAsia="Calibri" w:hAnsi="Calibri" w:cs="Arial"/>
                <w:b/>
                <w:color w:val="0D558B"/>
                <w:sz w:val="24"/>
                <w:szCs w:val="24"/>
                <w:lang w:eastAsia="en-US"/>
              </w:rPr>
            </w:pPr>
            <w:r w:rsidRPr="00B3381F">
              <w:rPr>
                <w:rFonts w:ascii="Calibri" w:eastAsia="Calibri" w:hAnsi="Calibri" w:cs="Arial"/>
                <w:b/>
                <w:color w:val="0D558B"/>
                <w:sz w:val="24"/>
                <w:szCs w:val="24"/>
                <w:lang w:eastAsia="en-US"/>
              </w:rPr>
              <w:t>Subject Benchmark Statements for Youth and Community Work (2019)</w:t>
            </w:r>
          </w:p>
        </w:tc>
        <w:tc>
          <w:tcPr>
            <w:tcW w:w="10292" w:type="dxa"/>
            <w:gridSpan w:val="27"/>
            <w:shd w:val="clear" w:color="auto" w:fill="D9D9D9" w:themeFill="background1" w:themeFillShade="D9"/>
          </w:tcPr>
          <w:p w14:paraId="5649EC83" w14:textId="77777777" w:rsidR="00B3381F" w:rsidRPr="00B3381F" w:rsidRDefault="00B3381F" w:rsidP="00B3381F">
            <w:pPr>
              <w:spacing w:before="120" w:after="120" w:line="256" w:lineRule="auto"/>
              <w:rPr>
                <w:rFonts w:ascii="Calibri" w:eastAsia="Calibri" w:hAnsi="Calibri" w:cs="Arial"/>
                <w:b/>
                <w:color w:val="0D558B"/>
                <w:sz w:val="24"/>
                <w:szCs w:val="24"/>
                <w:lang w:eastAsia="en-US"/>
              </w:rPr>
            </w:pPr>
            <w:r w:rsidRPr="00B3381F">
              <w:rPr>
                <w:rFonts w:ascii="Calibri" w:eastAsia="Calibri" w:hAnsi="Calibri" w:cs="Arial"/>
                <w:b/>
                <w:color w:val="0D558B"/>
                <w:sz w:val="24"/>
                <w:szCs w:val="24"/>
                <w:lang w:eastAsia="en-US"/>
              </w:rPr>
              <w:t xml:space="preserve">Course Learning outcomes  </w:t>
            </w:r>
          </w:p>
        </w:tc>
      </w:tr>
      <w:tr w:rsidR="00BC6421" w:rsidRPr="00B3381F" w14:paraId="4BE5EF79" w14:textId="77777777" w:rsidTr="00BC6421">
        <w:trPr>
          <w:gridAfter w:val="1"/>
          <w:wAfter w:w="56" w:type="dxa"/>
          <w:cantSplit/>
          <w:trHeight w:val="1762"/>
          <w:tblHeader/>
        </w:trPr>
        <w:tc>
          <w:tcPr>
            <w:tcW w:w="4025" w:type="dxa"/>
            <w:vMerge/>
          </w:tcPr>
          <w:p w14:paraId="2EFF4DCF" w14:textId="77777777" w:rsidR="00BC6421" w:rsidRPr="00B3381F" w:rsidRDefault="00BC6421" w:rsidP="00BC6421">
            <w:pPr>
              <w:spacing w:before="120" w:after="120" w:line="256" w:lineRule="auto"/>
              <w:rPr>
                <w:rFonts w:ascii="Calibri" w:eastAsia="Calibri" w:hAnsi="Calibri" w:cs="Arial"/>
                <w:b/>
                <w:color w:val="0D558B"/>
                <w:sz w:val="24"/>
                <w:szCs w:val="24"/>
                <w:lang w:eastAsia="en-US"/>
              </w:rPr>
            </w:pPr>
          </w:p>
        </w:tc>
        <w:tc>
          <w:tcPr>
            <w:tcW w:w="370" w:type="dxa"/>
            <w:shd w:val="clear" w:color="auto" w:fill="D9D9D9" w:themeFill="background1" w:themeFillShade="D9"/>
            <w:textDirection w:val="btLr"/>
          </w:tcPr>
          <w:p w14:paraId="1358BCC4" w14:textId="672BB5DF" w:rsidR="00BC6421" w:rsidRPr="00B3381F" w:rsidRDefault="00BC6421" w:rsidP="00BC6421">
            <w:pPr>
              <w:spacing w:line="256" w:lineRule="auto"/>
              <w:ind w:left="113" w:right="113"/>
              <w:rPr>
                <w:rFonts w:ascii="Calibri" w:eastAsia="Calibri" w:hAnsi="Calibri" w:cs="Arial"/>
                <w:b/>
                <w:color w:val="0D558B"/>
                <w:sz w:val="24"/>
                <w:szCs w:val="24"/>
                <w:lang w:eastAsia="en-US"/>
              </w:rPr>
            </w:pPr>
            <w:r>
              <w:rPr>
                <w:rFonts w:ascii="Calibri" w:eastAsia="Calibri" w:hAnsi="Calibri" w:cs="Arial"/>
                <w:b/>
                <w:color w:val="0D558B"/>
                <w:sz w:val="24"/>
                <w:szCs w:val="24"/>
                <w:lang w:eastAsia="en-US"/>
              </w:rPr>
              <w:t>CLO1</w:t>
            </w:r>
          </w:p>
        </w:tc>
        <w:tc>
          <w:tcPr>
            <w:tcW w:w="338" w:type="dxa"/>
            <w:shd w:val="clear" w:color="auto" w:fill="D9D9D9" w:themeFill="background1" w:themeFillShade="D9"/>
            <w:textDirection w:val="btLr"/>
          </w:tcPr>
          <w:p w14:paraId="4E4E7861" w14:textId="12ED17B0" w:rsidR="00BC6421" w:rsidRPr="00B3381F" w:rsidRDefault="00BC6421" w:rsidP="00BC6421">
            <w:pPr>
              <w:spacing w:line="256" w:lineRule="auto"/>
              <w:ind w:left="113" w:right="113"/>
              <w:rPr>
                <w:rFonts w:ascii="Calibri" w:eastAsia="Calibri" w:hAnsi="Calibri" w:cs="Arial"/>
                <w:b/>
                <w:color w:val="595959"/>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w:t>
            </w:r>
          </w:p>
        </w:tc>
        <w:tc>
          <w:tcPr>
            <w:tcW w:w="397" w:type="dxa"/>
            <w:shd w:val="clear" w:color="auto" w:fill="D9D9D9" w:themeFill="background1" w:themeFillShade="D9"/>
            <w:textDirection w:val="btLr"/>
          </w:tcPr>
          <w:p w14:paraId="336CFE86" w14:textId="2CB26F17" w:rsidR="00BC6421" w:rsidRPr="00B3381F" w:rsidRDefault="00BC6421" w:rsidP="00BC6421">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w:t>
            </w:r>
          </w:p>
        </w:tc>
        <w:tc>
          <w:tcPr>
            <w:tcW w:w="397" w:type="dxa"/>
            <w:shd w:val="clear" w:color="auto" w:fill="D9D9D9" w:themeFill="background1" w:themeFillShade="D9"/>
            <w:textDirection w:val="btLr"/>
          </w:tcPr>
          <w:p w14:paraId="776D39FC" w14:textId="545C8904" w:rsidR="00BC6421" w:rsidRPr="00B3381F" w:rsidRDefault="00BC6421" w:rsidP="00BC6421">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w:t>
            </w:r>
          </w:p>
        </w:tc>
        <w:tc>
          <w:tcPr>
            <w:tcW w:w="397" w:type="dxa"/>
            <w:shd w:val="clear" w:color="auto" w:fill="D9D9D9" w:themeFill="background1" w:themeFillShade="D9"/>
            <w:textDirection w:val="btLr"/>
          </w:tcPr>
          <w:p w14:paraId="34567A8C" w14:textId="7D01391D" w:rsidR="00BC6421" w:rsidRPr="00B3381F" w:rsidRDefault="00BC6421" w:rsidP="00BC6421">
            <w:pPr>
              <w:spacing w:line="256" w:lineRule="auto"/>
              <w:ind w:left="113" w:right="113"/>
              <w:rPr>
                <w:rFonts w:ascii="Calibri" w:eastAsia="Calibri" w:hAnsi="Calibri" w:cs="Arial"/>
                <w:b/>
                <w:bCs/>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5</w:t>
            </w:r>
          </w:p>
        </w:tc>
        <w:tc>
          <w:tcPr>
            <w:tcW w:w="397" w:type="dxa"/>
            <w:shd w:val="clear" w:color="auto" w:fill="D9D9D9" w:themeFill="background1" w:themeFillShade="D9"/>
            <w:textDirection w:val="btLr"/>
          </w:tcPr>
          <w:p w14:paraId="74A82C64" w14:textId="32F9057F" w:rsidR="00BC6421" w:rsidRPr="00B3381F" w:rsidRDefault="00BC6421" w:rsidP="00BC6421">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6</w:t>
            </w:r>
          </w:p>
        </w:tc>
        <w:tc>
          <w:tcPr>
            <w:tcW w:w="397" w:type="dxa"/>
            <w:shd w:val="clear" w:color="auto" w:fill="D9D9D9" w:themeFill="background1" w:themeFillShade="D9"/>
            <w:textDirection w:val="btLr"/>
          </w:tcPr>
          <w:p w14:paraId="72BBE8DE" w14:textId="1654ABA3" w:rsidR="00BC6421" w:rsidRPr="00B3381F" w:rsidRDefault="00BC6421" w:rsidP="00BC6421">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7</w:t>
            </w:r>
          </w:p>
        </w:tc>
        <w:tc>
          <w:tcPr>
            <w:tcW w:w="397" w:type="dxa"/>
            <w:shd w:val="clear" w:color="auto" w:fill="D9D9D9" w:themeFill="background1" w:themeFillShade="D9"/>
            <w:textDirection w:val="btLr"/>
          </w:tcPr>
          <w:p w14:paraId="2DE18642" w14:textId="49493F2A" w:rsidR="00BC6421" w:rsidRPr="00B3381F" w:rsidRDefault="00BC6421" w:rsidP="00BC6421">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8</w:t>
            </w:r>
          </w:p>
        </w:tc>
        <w:tc>
          <w:tcPr>
            <w:tcW w:w="397" w:type="dxa"/>
            <w:shd w:val="clear" w:color="auto" w:fill="D9D9D9" w:themeFill="background1" w:themeFillShade="D9"/>
            <w:textDirection w:val="btLr"/>
          </w:tcPr>
          <w:p w14:paraId="3FE86453" w14:textId="1A091BE1" w:rsidR="00BC6421" w:rsidRPr="00B3381F" w:rsidRDefault="00BC6421" w:rsidP="00BC6421">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9</w:t>
            </w:r>
          </w:p>
        </w:tc>
        <w:tc>
          <w:tcPr>
            <w:tcW w:w="397" w:type="dxa"/>
            <w:shd w:val="clear" w:color="auto" w:fill="D9D9D9" w:themeFill="background1" w:themeFillShade="D9"/>
            <w:textDirection w:val="btLr"/>
          </w:tcPr>
          <w:p w14:paraId="515D8F88" w14:textId="322A90A4" w:rsidR="00BC6421" w:rsidRPr="00B3381F" w:rsidRDefault="00BC6421" w:rsidP="00BC6421">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10</w:t>
            </w:r>
          </w:p>
        </w:tc>
        <w:tc>
          <w:tcPr>
            <w:tcW w:w="397" w:type="dxa"/>
            <w:shd w:val="clear" w:color="auto" w:fill="D9D9D9" w:themeFill="background1" w:themeFillShade="D9"/>
            <w:textDirection w:val="btLr"/>
          </w:tcPr>
          <w:p w14:paraId="0D5823E9" w14:textId="41741386" w:rsidR="00BC6421" w:rsidRPr="00B3381F" w:rsidRDefault="00BC6421" w:rsidP="00BC6421">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11</w:t>
            </w:r>
          </w:p>
        </w:tc>
        <w:tc>
          <w:tcPr>
            <w:tcW w:w="397" w:type="dxa"/>
            <w:shd w:val="clear" w:color="auto" w:fill="D9D9D9" w:themeFill="background1" w:themeFillShade="D9"/>
            <w:textDirection w:val="btLr"/>
          </w:tcPr>
          <w:p w14:paraId="09664A69" w14:textId="1BAC4B77" w:rsidR="00BC6421" w:rsidRPr="00B3381F" w:rsidRDefault="00BC6421" w:rsidP="00BC6421">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12</w:t>
            </w:r>
          </w:p>
        </w:tc>
        <w:tc>
          <w:tcPr>
            <w:tcW w:w="397" w:type="dxa"/>
            <w:shd w:val="clear" w:color="auto" w:fill="D9D9D9" w:themeFill="background1" w:themeFillShade="D9"/>
            <w:textDirection w:val="btLr"/>
          </w:tcPr>
          <w:p w14:paraId="34414A6E" w14:textId="640BEEC6" w:rsidR="00BC6421" w:rsidRPr="00B3381F" w:rsidRDefault="00BC6421" w:rsidP="00BC6421">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13</w:t>
            </w:r>
          </w:p>
        </w:tc>
        <w:tc>
          <w:tcPr>
            <w:tcW w:w="397" w:type="dxa"/>
            <w:shd w:val="clear" w:color="auto" w:fill="D9D9D9" w:themeFill="background1" w:themeFillShade="D9"/>
            <w:textDirection w:val="btLr"/>
          </w:tcPr>
          <w:p w14:paraId="47D11ED9" w14:textId="37D321B6" w:rsidR="00BC6421" w:rsidRPr="00B3381F" w:rsidRDefault="00BC6421" w:rsidP="00BC6421">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14</w:t>
            </w:r>
          </w:p>
        </w:tc>
        <w:tc>
          <w:tcPr>
            <w:tcW w:w="397" w:type="dxa"/>
            <w:shd w:val="clear" w:color="auto" w:fill="D9D9D9" w:themeFill="background1" w:themeFillShade="D9"/>
            <w:textDirection w:val="btLr"/>
          </w:tcPr>
          <w:p w14:paraId="3C995036" w14:textId="41D1058B" w:rsidR="00BC6421" w:rsidRPr="00B3381F" w:rsidRDefault="00BC6421" w:rsidP="00BC6421">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15</w:t>
            </w:r>
          </w:p>
        </w:tc>
        <w:tc>
          <w:tcPr>
            <w:tcW w:w="397" w:type="dxa"/>
            <w:shd w:val="clear" w:color="auto" w:fill="D9D9D9" w:themeFill="background1" w:themeFillShade="D9"/>
            <w:textDirection w:val="btLr"/>
          </w:tcPr>
          <w:p w14:paraId="60A6F83D" w14:textId="3161DC1C" w:rsidR="00BC6421" w:rsidRPr="00B3381F" w:rsidRDefault="00BC6421" w:rsidP="00BC6421">
            <w:pPr>
              <w:spacing w:line="256" w:lineRule="auto"/>
              <w:ind w:left="113" w:right="113"/>
              <w:rPr>
                <w:rFonts w:ascii="Calibri" w:eastAsia="Calibri" w:hAnsi="Calibri"/>
                <w:b/>
                <w:bCs/>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16</w:t>
            </w:r>
          </w:p>
        </w:tc>
        <w:tc>
          <w:tcPr>
            <w:tcW w:w="397" w:type="dxa"/>
            <w:shd w:val="clear" w:color="auto" w:fill="D9D9D9" w:themeFill="background1" w:themeFillShade="D9"/>
            <w:textDirection w:val="btLr"/>
          </w:tcPr>
          <w:p w14:paraId="008E2716" w14:textId="20AA43E0" w:rsidR="00BC6421" w:rsidRPr="00B3381F" w:rsidRDefault="00BC6421" w:rsidP="00BC6421">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17</w:t>
            </w:r>
          </w:p>
        </w:tc>
        <w:tc>
          <w:tcPr>
            <w:tcW w:w="397" w:type="dxa"/>
            <w:shd w:val="clear" w:color="auto" w:fill="D9D9D9" w:themeFill="background1" w:themeFillShade="D9"/>
            <w:textDirection w:val="btLr"/>
          </w:tcPr>
          <w:p w14:paraId="687E322F" w14:textId="34613082" w:rsidR="00BC6421" w:rsidRPr="00B3381F" w:rsidRDefault="00BC6421" w:rsidP="00BC6421">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18</w:t>
            </w:r>
          </w:p>
        </w:tc>
        <w:tc>
          <w:tcPr>
            <w:tcW w:w="397" w:type="dxa"/>
            <w:shd w:val="clear" w:color="auto" w:fill="D9D9D9" w:themeFill="background1" w:themeFillShade="D9"/>
            <w:textDirection w:val="btLr"/>
          </w:tcPr>
          <w:p w14:paraId="4C5821F2" w14:textId="715663ED"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19</w:t>
            </w:r>
          </w:p>
        </w:tc>
        <w:tc>
          <w:tcPr>
            <w:tcW w:w="397" w:type="dxa"/>
            <w:shd w:val="clear" w:color="auto" w:fill="D9D9D9" w:themeFill="background1" w:themeFillShade="D9"/>
            <w:textDirection w:val="btLr"/>
          </w:tcPr>
          <w:p w14:paraId="6C1B234B" w14:textId="4D584C08"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20</w:t>
            </w:r>
          </w:p>
        </w:tc>
        <w:tc>
          <w:tcPr>
            <w:tcW w:w="397" w:type="dxa"/>
            <w:shd w:val="clear" w:color="auto" w:fill="D9D9D9" w:themeFill="background1" w:themeFillShade="D9"/>
            <w:textDirection w:val="btLr"/>
          </w:tcPr>
          <w:p w14:paraId="6825E10A" w14:textId="233F1BC7"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21</w:t>
            </w:r>
          </w:p>
        </w:tc>
        <w:tc>
          <w:tcPr>
            <w:tcW w:w="397" w:type="dxa"/>
            <w:shd w:val="clear" w:color="auto" w:fill="D9D9D9" w:themeFill="background1" w:themeFillShade="D9"/>
            <w:textDirection w:val="btLr"/>
          </w:tcPr>
          <w:p w14:paraId="103732F3" w14:textId="333D2B13"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22</w:t>
            </w:r>
          </w:p>
        </w:tc>
        <w:tc>
          <w:tcPr>
            <w:tcW w:w="397" w:type="dxa"/>
            <w:shd w:val="clear" w:color="auto" w:fill="D9D9D9" w:themeFill="background1" w:themeFillShade="D9"/>
            <w:textDirection w:val="btLr"/>
          </w:tcPr>
          <w:p w14:paraId="30AA407C" w14:textId="3A87F4CB"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23</w:t>
            </w:r>
          </w:p>
        </w:tc>
        <w:tc>
          <w:tcPr>
            <w:tcW w:w="397" w:type="dxa"/>
            <w:shd w:val="clear" w:color="auto" w:fill="D9D9D9" w:themeFill="background1" w:themeFillShade="D9"/>
            <w:textDirection w:val="btLr"/>
          </w:tcPr>
          <w:p w14:paraId="0E78B555" w14:textId="46E4C6B0"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24</w:t>
            </w:r>
          </w:p>
        </w:tc>
        <w:tc>
          <w:tcPr>
            <w:tcW w:w="397" w:type="dxa"/>
            <w:shd w:val="clear" w:color="auto" w:fill="D9D9D9" w:themeFill="background1" w:themeFillShade="D9"/>
            <w:textDirection w:val="btLr"/>
          </w:tcPr>
          <w:p w14:paraId="47D14104" w14:textId="16545BF5"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25</w:t>
            </w:r>
          </w:p>
        </w:tc>
        <w:tc>
          <w:tcPr>
            <w:tcW w:w="397" w:type="dxa"/>
            <w:shd w:val="clear" w:color="auto" w:fill="D9D9D9" w:themeFill="background1" w:themeFillShade="D9"/>
            <w:textDirection w:val="btLr"/>
          </w:tcPr>
          <w:p w14:paraId="41B806B4" w14:textId="075B884C" w:rsidR="00BC6421" w:rsidRPr="00B3381F" w:rsidRDefault="00BC6421" w:rsidP="00BC6421">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26</w:t>
            </w:r>
          </w:p>
        </w:tc>
      </w:tr>
      <w:tr w:rsidR="00B3381F" w:rsidRPr="00B3381F" w14:paraId="38007D51" w14:textId="77777777" w:rsidTr="00BC6421">
        <w:trPr>
          <w:gridAfter w:val="1"/>
          <w:wAfter w:w="56" w:type="dxa"/>
        </w:trPr>
        <w:tc>
          <w:tcPr>
            <w:tcW w:w="4025" w:type="dxa"/>
            <w:shd w:val="clear" w:color="auto" w:fill="0D558B"/>
          </w:tcPr>
          <w:p w14:paraId="4F20C4C1" w14:textId="77777777" w:rsidR="00B3381F" w:rsidRPr="00B3381F" w:rsidRDefault="00B3381F" w:rsidP="00B3381F">
            <w:pPr>
              <w:spacing w:line="256" w:lineRule="auto"/>
              <w:rPr>
                <w:rFonts w:ascii="Calibri" w:eastAsia="Calibri" w:hAnsi="Calibri"/>
                <w:sz w:val="22"/>
                <w:lang w:eastAsia="en-US"/>
              </w:rPr>
            </w:pPr>
            <w:proofErr w:type="spellStart"/>
            <w:r w:rsidRPr="00B3381F">
              <w:rPr>
                <w:rFonts w:ascii="Calibri" w:eastAsia="Calibri" w:hAnsi="Calibri"/>
                <w:color w:val="FFFFFF" w:themeColor="background1"/>
                <w:sz w:val="22"/>
                <w:lang w:eastAsia="en-US"/>
              </w:rPr>
              <w:t>i</w:t>
            </w:r>
            <w:proofErr w:type="spellEnd"/>
            <w:r w:rsidRPr="00B3381F">
              <w:rPr>
                <w:rFonts w:ascii="Calibri" w:eastAsia="Calibri" w:hAnsi="Calibri"/>
                <w:color w:val="FFFFFF" w:themeColor="background1"/>
                <w:sz w:val="22"/>
                <w:lang w:eastAsia="en-US"/>
              </w:rPr>
              <w:t xml:space="preserve"> critically appraise dilemmas and complex ethics to devise responses informed by the professional value base and ethical principles of youth and community work</w:t>
            </w:r>
          </w:p>
        </w:tc>
        <w:tc>
          <w:tcPr>
            <w:tcW w:w="370" w:type="dxa"/>
            <w:vAlign w:val="center"/>
          </w:tcPr>
          <w:p w14:paraId="37290B1D" w14:textId="77777777" w:rsidR="00B3381F" w:rsidRPr="00B3381F" w:rsidRDefault="00B3381F" w:rsidP="00B3381F">
            <w:pPr>
              <w:spacing w:line="256" w:lineRule="auto"/>
              <w:rPr>
                <w:rFonts w:ascii="Calibri" w:eastAsia="Calibri" w:hAnsi="Calibri" w:cs="Arial"/>
                <w:sz w:val="24"/>
                <w:szCs w:val="24"/>
                <w:lang w:eastAsia="en-US"/>
              </w:rPr>
            </w:pPr>
          </w:p>
        </w:tc>
        <w:tc>
          <w:tcPr>
            <w:tcW w:w="338" w:type="dxa"/>
            <w:shd w:val="clear" w:color="auto" w:fill="auto"/>
            <w:vAlign w:val="center"/>
          </w:tcPr>
          <w:p w14:paraId="3C9C19B3"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4B92AA6A"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54A07BCC"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2BBA3267"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212C6579"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3F3D9472"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3874A9D0"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6EA36694"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0DA329B0"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47830A65"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0932AD25"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8291FDB"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5CB81655"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1D3DABCC"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61F480AE"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BF98FAA" w14:textId="77777777" w:rsidR="00B3381F" w:rsidRPr="00B3381F" w:rsidRDefault="00B3381F" w:rsidP="00B3381F">
            <w:pPr>
              <w:spacing w:line="256" w:lineRule="auto"/>
              <w:rPr>
                <w:rFonts w:ascii="Calibri" w:eastAsia="Calibri" w:hAnsi="Calibri"/>
                <w:sz w:val="22"/>
                <w:lang w:eastAsia="en-US"/>
              </w:rPr>
            </w:pPr>
          </w:p>
        </w:tc>
        <w:tc>
          <w:tcPr>
            <w:tcW w:w="397" w:type="dxa"/>
            <w:vAlign w:val="center"/>
          </w:tcPr>
          <w:p w14:paraId="300961A6" w14:textId="77777777" w:rsidR="00B3381F" w:rsidRPr="00B3381F" w:rsidRDefault="00B3381F" w:rsidP="00B3381F">
            <w:pPr>
              <w:spacing w:line="256" w:lineRule="auto"/>
              <w:jc w:val="center"/>
              <w:rPr>
                <w:rFonts w:ascii="Calibri" w:eastAsia="Calibri" w:hAnsi="Calibri"/>
                <w:sz w:val="22"/>
                <w:lang w:eastAsia="en-US"/>
              </w:rPr>
            </w:pPr>
          </w:p>
        </w:tc>
        <w:tc>
          <w:tcPr>
            <w:tcW w:w="397" w:type="dxa"/>
            <w:vAlign w:val="center"/>
          </w:tcPr>
          <w:p w14:paraId="72F3DE90"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10AE4289"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083B3DF1"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63C3F48E"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6F89D9A7"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166FD55B"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5B58B6EF"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756ED579" w14:textId="77777777" w:rsidR="00B3381F" w:rsidRPr="00B3381F" w:rsidRDefault="00B3381F" w:rsidP="00B3381F">
            <w:pPr>
              <w:spacing w:line="259" w:lineRule="auto"/>
              <w:rPr>
                <w:rFonts w:ascii="Calibri" w:eastAsia="Calibri" w:hAnsi="Calibri"/>
                <w:sz w:val="22"/>
                <w:lang w:eastAsia="en-US"/>
              </w:rPr>
            </w:pPr>
          </w:p>
        </w:tc>
      </w:tr>
      <w:tr w:rsidR="00B3381F" w:rsidRPr="00B3381F" w14:paraId="528159EB" w14:textId="77777777" w:rsidTr="00BC6421">
        <w:trPr>
          <w:gridAfter w:val="1"/>
          <w:wAfter w:w="56" w:type="dxa"/>
        </w:trPr>
        <w:tc>
          <w:tcPr>
            <w:tcW w:w="4025" w:type="dxa"/>
            <w:shd w:val="clear" w:color="auto" w:fill="0D558B"/>
          </w:tcPr>
          <w:p w14:paraId="05D457BC" w14:textId="77777777" w:rsidR="00B3381F" w:rsidRPr="00B3381F" w:rsidRDefault="00B3381F" w:rsidP="00B3381F">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ii analyse youth and community work practice within a comparative context using theory and evidence from a range of local, regional, national and international sources</w:t>
            </w:r>
          </w:p>
        </w:tc>
        <w:tc>
          <w:tcPr>
            <w:tcW w:w="370" w:type="dxa"/>
            <w:vAlign w:val="center"/>
          </w:tcPr>
          <w:p w14:paraId="3E366977" w14:textId="77777777" w:rsidR="00B3381F" w:rsidRPr="00B3381F" w:rsidRDefault="00B3381F" w:rsidP="00B3381F">
            <w:pPr>
              <w:spacing w:line="256" w:lineRule="auto"/>
              <w:rPr>
                <w:rFonts w:ascii="Wingdings 2" w:eastAsia="Calibri" w:hAnsi="Wingdings 2" w:cs="Arial"/>
                <w:b/>
                <w:sz w:val="28"/>
                <w:szCs w:val="28"/>
                <w:lang w:eastAsia="en-US"/>
              </w:rPr>
            </w:pPr>
          </w:p>
        </w:tc>
        <w:tc>
          <w:tcPr>
            <w:tcW w:w="338" w:type="dxa"/>
            <w:shd w:val="clear" w:color="auto" w:fill="auto"/>
            <w:vAlign w:val="center"/>
          </w:tcPr>
          <w:p w14:paraId="4878CD7A"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5D6F9397"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1C7DF2A1"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26D1DE1C"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5C42A6EC"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040A81E8"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2226506A"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32E7AFA7"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D4A5588"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27C047A1"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1688C3D5"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17CD7BC7"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41123A04"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348722F"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3D5160E6"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5FF19B7" w14:textId="77777777" w:rsidR="00B3381F" w:rsidRPr="00B3381F" w:rsidRDefault="00B3381F" w:rsidP="00B3381F">
            <w:pPr>
              <w:spacing w:line="256" w:lineRule="auto"/>
              <w:rPr>
                <w:rFonts w:ascii="Calibri" w:eastAsia="Calibri" w:hAnsi="Calibri"/>
                <w:sz w:val="22"/>
                <w:lang w:eastAsia="en-US"/>
              </w:rPr>
            </w:pPr>
          </w:p>
        </w:tc>
        <w:tc>
          <w:tcPr>
            <w:tcW w:w="397" w:type="dxa"/>
            <w:vAlign w:val="center"/>
          </w:tcPr>
          <w:p w14:paraId="568A6A3B" w14:textId="77777777" w:rsidR="00B3381F" w:rsidRPr="00B3381F" w:rsidRDefault="00B3381F" w:rsidP="00B3381F">
            <w:pPr>
              <w:spacing w:line="256" w:lineRule="auto"/>
              <w:jc w:val="center"/>
              <w:rPr>
                <w:rFonts w:ascii="Calibri" w:eastAsia="Calibri" w:hAnsi="Calibri"/>
                <w:sz w:val="22"/>
                <w:lang w:eastAsia="en-US"/>
              </w:rPr>
            </w:pPr>
          </w:p>
        </w:tc>
        <w:tc>
          <w:tcPr>
            <w:tcW w:w="397" w:type="dxa"/>
            <w:vAlign w:val="center"/>
          </w:tcPr>
          <w:p w14:paraId="171A30E1"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62D1DA3D"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27AE4056"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62E6E57A"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4EFE690A"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111077CE"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3FD0E524"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4BF35E9C" w14:textId="77777777" w:rsidR="00B3381F" w:rsidRPr="00B3381F" w:rsidRDefault="00B3381F" w:rsidP="00B3381F">
            <w:pPr>
              <w:spacing w:line="259" w:lineRule="auto"/>
              <w:rPr>
                <w:rFonts w:ascii="Calibri" w:eastAsia="Calibri" w:hAnsi="Calibri"/>
                <w:sz w:val="22"/>
                <w:lang w:eastAsia="en-US"/>
              </w:rPr>
            </w:pPr>
          </w:p>
        </w:tc>
      </w:tr>
      <w:tr w:rsidR="00B3381F" w:rsidRPr="00B3381F" w14:paraId="29A20491" w14:textId="77777777" w:rsidTr="00BC6421">
        <w:trPr>
          <w:gridAfter w:val="1"/>
          <w:wAfter w:w="56" w:type="dxa"/>
        </w:trPr>
        <w:tc>
          <w:tcPr>
            <w:tcW w:w="4025" w:type="dxa"/>
            <w:shd w:val="clear" w:color="auto" w:fill="0D558B"/>
          </w:tcPr>
          <w:p w14:paraId="47635EA4" w14:textId="77777777" w:rsidR="00B3381F" w:rsidRPr="00B3381F" w:rsidRDefault="00B3381F" w:rsidP="00B3381F">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iii investigate their own youth and community work practice using reflective practice and research methods and propose alternative future action</w:t>
            </w:r>
          </w:p>
        </w:tc>
        <w:tc>
          <w:tcPr>
            <w:tcW w:w="370" w:type="dxa"/>
            <w:vAlign w:val="center"/>
          </w:tcPr>
          <w:p w14:paraId="4A32A45A" w14:textId="77777777" w:rsidR="00B3381F" w:rsidRPr="00B3381F" w:rsidRDefault="00B3381F" w:rsidP="00B3381F">
            <w:pPr>
              <w:spacing w:line="256" w:lineRule="auto"/>
              <w:rPr>
                <w:rFonts w:ascii="Calibri" w:eastAsia="Calibri" w:hAnsi="Calibri" w:cs="Arial"/>
                <w:sz w:val="24"/>
                <w:szCs w:val="24"/>
                <w:lang w:eastAsia="en-US"/>
              </w:rPr>
            </w:pPr>
          </w:p>
        </w:tc>
        <w:tc>
          <w:tcPr>
            <w:tcW w:w="338" w:type="dxa"/>
            <w:shd w:val="clear" w:color="auto" w:fill="auto"/>
            <w:vAlign w:val="center"/>
          </w:tcPr>
          <w:p w14:paraId="13D7E451"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5C5EC62D"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3AE58284"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11CCD773"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7A7213EA"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0573009B" w14:textId="77777777" w:rsidR="00B3381F" w:rsidRPr="00B3381F" w:rsidRDefault="00B3381F" w:rsidP="00B3381F">
            <w:pPr>
              <w:spacing w:line="256" w:lineRule="auto"/>
              <w:rPr>
                <w:rFonts w:ascii="Calibri" w:eastAsia="Calibri" w:hAnsi="Calibri" w:cs="Arial"/>
                <w:sz w:val="24"/>
                <w:szCs w:val="24"/>
                <w:lang w:eastAsia="en-US"/>
              </w:rPr>
            </w:pPr>
          </w:p>
        </w:tc>
        <w:tc>
          <w:tcPr>
            <w:tcW w:w="397" w:type="dxa"/>
            <w:shd w:val="clear" w:color="auto" w:fill="auto"/>
            <w:vAlign w:val="center"/>
          </w:tcPr>
          <w:p w14:paraId="27EAF2E2"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B7480E5"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3F81C541"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0793663"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52863C1"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2987E39E"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5D33EBA7"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2BE45BE8"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2A69EE2" w14:textId="77777777" w:rsidR="00B3381F" w:rsidRPr="00B3381F" w:rsidRDefault="00B3381F" w:rsidP="00B3381F">
            <w:pPr>
              <w:spacing w:line="256" w:lineRule="auto"/>
              <w:rPr>
                <w:rFonts w:ascii="Calibri" w:eastAsia="Calibri" w:hAnsi="Calibri"/>
                <w:sz w:val="22"/>
                <w:lang w:eastAsia="en-US"/>
              </w:rPr>
            </w:pPr>
          </w:p>
        </w:tc>
        <w:tc>
          <w:tcPr>
            <w:tcW w:w="397" w:type="dxa"/>
            <w:shd w:val="clear" w:color="auto" w:fill="auto"/>
            <w:vAlign w:val="center"/>
          </w:tcPr>
          <w:p w14:paraId="7D2A2881" w14:textId="77777777" w:rsidR="00B3381F" w:rsidRPr="00B3381F" w:rsidRDefault="00B3381F" w:rsidP="00B3381F">
            <w:pPr>
              <w:spacing w:line="256" w:lineRule="auto"/>
              <w:rPr>
                <w:rFonts w:ascii="Calibri" w:eastAsia="Calibri" w:hAnsi="Calibri"/>
                <w:sz w:val="22"/>
                <w:lang w:eastAsia="en-US"/>
              </w:rPr>
            </w:pPr>
          </w:p>
        </w:tc>
        <w:tc>
          <w:tcPr>
            <w:tcW w:w="397" w:type="dxa"/>
            <w:vAlign w:val="center"/>
          </w:tcPr>
          <w:p w14:paraId="5560C5FD" w14:textId="77777777" w:rsidR="00B3381F" w:rsidRPr="00B3381F" w:rsidRDefault="00B3381F" w:rsidP="00B3381F">
            <w:pPr>
              <w:spacing w:line="256" w:lineRule="auto"/>
              <w:jc w:val="center"/>
              <w:rPr>
                <w:rFonts w:ascii="Calibri" w:eastAsia="Calibri" w:hAnsi="Calibri"/>
                <w:sz w:val="22"/>
                <w:lang w:eastAsia="en-US"/>
              </w:rPr>
            </w:pPr>
          </w:p>
        </w:tc>
        <w:tc>
          <w:tcPr>
            <w:tcW w:w="397" w:type="dxa"/>
            <w:vAlign w:val="center"/>
          </w:tcPr>
          <w:p w14:paraId="7C984EC0"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7A1225C4"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253FC086"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19C992F3"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65172594"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44098C89"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3D614195" w14:textId="77777777" w:rsidR="00B3381F" w:rsidRPr="00B3381F" w:rsidRDefault="00B3381F" w:rsidP="00B3381F">
            <w:pPr>
              <w:spacing w:line="259" w:lineRule="auto"/>
              <w:rPr>
                <w:rFonts w:ascii="Calibri" w:eastAsia="Calibri" w:hAnsi="Calibri"/>
                <w:sz w:val="22"/>
                <w:lang w:eastAsia="en-US"/>
              </w:rPr>
            </w:pPr>
          </w:p>
        </w:tc>
        <w:tc>
          <w:tcPr>
            <w:tcW w:w="397" w:type="dxa"/>
            <w:vAlign w:val="center"/>
          </w:tcPr>
          <w:p w14:paraId="571DB47D" w14:textId="77777777" w:rsidR="00B3381F" w:rsidRPr="00B3381F" w:rsidRDefault="00B3381F" w:rsidP="00B3381F">
            <w:pPr>
              <w:spacing w:line="259" w:lineRule="auto"/>
              <w:rPr>
                <w:rFonts w:ascii="Calibri" w:eastAsia="Calibri" w:hAnsi="Calibri"/>
                <w:sz w:val="22"/>
                <w:lang w:eastAsia="en-US"/>
              </w:rPr>
            </w:pPr>
          </w:p>
        </w:tc>
      </w:tr>
      <w:tr w:rsidR="00BC6421" w:rsidRPr="00B3381F" w14:paraId="7C701AC2" w14:textId="77777777" w:rsidTr="00BC6421">
        <w:trPr>
          <w:gridAfter w:val="1"/>
          <w:wAfter w:w="56" w:type="dxa"/>
        </w:trPr>
        <w:tc>
          <w:tcPr>
            <w:tcW w:w="4025" w:type="dxa"/>
            <w:shd w:val="clear" w:color="auto" w:fill="2F5496" w:themeFill="accent1" w:themeFillShade="BF"/>
          </w:tcPr>
          <w:p w14:paraId="6C42752A" w14:textId="77777777" w:rsidR="00BC6421" w:rsidRPr="00B3381F" w:rsidRDefault="00BC6421" w:rsidP="00160A20">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iv appraise social theory and social policy discourses and distinguish clearly between normative and empirical arguments and assess their impact on young people and communities</w:t>
            </w:r>
          </w:p>
        </w:tc>
        <w:tc>
          <w:tcPr>
            <w:tcW w:w="370" w:type="dxa"/>
          </w:tcPr>
          <w:p w14:paraId="4C95C69E" w14:textId="77777777" w:rsidR="00BC6421" w:rsidRPr="00B3381F" w:rsidRDefault="00BC6421" w:rsidP="00160A20">
            <w:pPr>
              <w:spacing w:line="256" w:lineRule="auto"/>
              <w:rPr>
                <w:rFonts w:ascii="Calibri" w:eastAsia="Calibri" w:hAnsi="Calibri" w:cs="Arial"/>
                <w:sz w:val="24"/>
                <w:szCs w:val="24"/>
                <w:lang w:eastAsia="en-US"/>
              </w:rPr>
            </w:pPr>
          </w:p>
        </w:tc>
        <w:tc>
          <w:tcPr>
            <w:tcW w:w="338" w:type="dxa"/>
          </w:tcPr>
          <w:p w14:paraId="28F17DA2"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536D6859"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2748F686"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35264481"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181EC9D4"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70318FFF"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386E1C81"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34845DF" w14:textId="77777777" w:rsidR="00BC6421" w:rsidRPr="00B3381F" w:rsidRDefault="00BC6421" w:rsidP="00160A20">
            <w:pPr>
              <w:spacing w:line="256" w:lineRule="auto"/>
              <w:rPr>
                <w:rFonts w:ascii="Calibri" w:eastAsia="Calibri" w:hAnsi="Calibri"/>
                <w:sz w:val="22"/>
                <w:lang w:eastAsia="en-US"/>
              </w:rPr>
            </w:pPr>
          </w:p>
        </w:tc>
        <w:tc>
          <w:tcPr>
            <w:tcW w:w="397" w:type="dxa"/>
          </w:tcPr>
          <w:p w14:paraId="36AD6104" w14:textId="77777777" w:rsidR="00BC6421" w:rsidRPr="00B3381F" w:rsidRDefault="00BC6421" w:rsidP="00160A20">
            <w:pPr>
              <w:spacing w:line="256" w:lineRule="auto"/>
              <w:rPr>
                <w:rFonts w:ascii="Calibri" w:eastAsia="Calibri" w:hAnsi="Calibri"/>
                <w:sz w:val="22"/>
                <w:lang w:eastAsia="en-US"/>
              </w:rPr>
            </w:pPr>
          </w:p>
        </w:tc>
        <w:tc>
          <w:tcPr>
            <w:tcW w:w="397" w:type="dxa"/>
          </w:tcPr>
          <w:p w14:paraId="346FAA99" w14:textId="77777777" w:rsidR="00BC6421" w:rsidRPr="00B3381F" w:rsidRDefault="00BC6421" w:rsidP="00160A20">
            <w:pPr>
              <w:spacing w:line="256" w:lineRule="auto"/>
              <w:rPr>
                <w:rFonts w:ascii="Calibri" w:eastAsia="Calibri" w:hAnsi="Calibri"/>
                <w:sz w:val="22"/>
                <w:lang w:eastAsia="en-US"/>
              </w:rPr>
            </w:pPr>
          </w:p>
        </w:tc>
        <w:tc>
          <w:tcPr>
            <w:tcW w:w="397" w:type="dxa"/>
          </w:tcPr>
          <w:p w14:paraId="3AF088BF" w14:textId="77777777" w:rsidR="00BC6421" w:rsidRPr="00B3381F" w:rsidRDefault="00BC6421" w:rsidP="00160A20">
            <w:pPr>
              <w:spacing w:line="256" w:lineRule="auto"/>
              <w:rPr>
                <w:rFonts w:ascii="Calibri" w:eastAsia="Calibri" w:hAnsi="Calibri"/>
                <w:sz w:val="22"/>
                <w:lang w:eastAsia="en-US"/>
              </w:rPr>
            </w:pPr>
          </w:p>
        </w:tc>
        <w:tc>
          <w:tcPr>
            <w:tcW w:w="397" w:type="dxa"/>
          </w:tcPr>
          <w:p w14:paraId="38BAE712"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53F75A7" w14:textId="77777777" w:rsidR="00BC6421" w:rsidRPr="00B3381F" w:rsidRDefault="00BC6421" w:rsidP="00160A20">
            <w:pPr>
              <w:spacing w:line="256" w:lineRule="auto"/>
              <w:rPr>
                <w:rFonts w:ascii="Calibri" w:eastAsia="Calibri" w:hAnsi="Calibri"/>
                <w:sz w:val="22"/>
                <w:lang w:eastAsia="en-US"/>
              </w:rPr>
            </w:pPr>
          </w:p>
        </w:tc>
        <w:tc>
          <w:tcPr>
            <w:tcW w:w="397" w:type="dxa"/>
          </w:tcPr>
          <w:p w14:paraId="1E9178E3" w14:textId="77777777" w:rsidR="00BC6421" w:rsidRPr="00B3381F" w:rsidRDefault="00BC6421" w:rsidP="00160A20">
            <w:pPr>
              <w:spacing w:line="256" w:lineRule="auto"/>
              <w:rPr>
                <w:rFonts w:ascii="Calibri" w:eastAsia="Calibri" w:hAnsi="Calibri"/>
                <w:sz w:val="22"/>
                <w:lang w:eastAsia="en-US"/>
              </w:rPr>
            </w:pPr>
          </w:p>
        </w:tc>
        <w:tc>
          <w:tcPr>
            <w:tcW w:w="397" w:type="dxa"/>
          </w:tcPr>
          <w:p w14:paraId="4DD761A0"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AC903B3"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C9FDC4A" w14:textId="77777777" w:rsidR="00BC6421" w:rsidRPr="00B3381F" w:rsidRDefault="00BC6421" w:rsidP="00160A20">
            <w:pPr>
              <w:spacing w:line="256" w:lineRule="auto"/>
              <w:jc w:val="center"/>
              <w:rPr>
                <w:rFonts w:ascii="Calibri" w:eastAsia="Calibri" w:hAnsi="Calibri"/>
                <w:sz w:val="22"/>
                <w:lang w:eastAsia="en-US"/>
              </w:rPr>
            </w:pPr>
          </w:p>
        </w:tc>
        <w:tc>
          <w:tcPr>
            <w:tcW w:w="397" w:type="dxa"/>
          </w:tcPr>
          <w:p w14:paraId="4BD30329" w14:textId="77777777" w:rsidR="00BC6421" w:rsidRPr="00B3381F" w:rsidRDefault="00BC6421" w:rsidP="00160A20">
            <w:pPr>
              <w:spacing w:line="259" w:lineRule="auto"/>
              <w:rPr>
                <w:rFonts w:ascii="Calibri" w:eastAsia="Calibri" w:hAnsi="Calibri"/>
                <w:sz w:val="22"/>
                <w:lang w:eastAsia="en-US"/>
              </w:rPr>
            </w:pPr>
          </w:p>
        </w:tc>
        <w:tc>
          <w:tcPr>
            <w:tcW w:w="397" w:type="dxa"/>
          </w:tcPr>
          <w:p w14:paraId="792D1488" w14:textId="77777777" w:rsidR="00BC6421" w:rsidRPr="00B3381F" w:rsidRDefault="00BC6421" w:rsidP="00160A20">
            <w:pPr>
              <w:spacing w:line="259" w:lineRule="auto"/>
              <w:rPr>
                <w:rFonts w:ascii="Calibri" w:eastAsia="Calibri" w:hAnsi="Calibri"/>
                <w:sz w:val="22"/>
                <w:lang w:eastAsia="en-US"/>
              </w:rPr>
            </w:pPr>
          </w:p>
        </w:tc>
        <w:tc>
          <w:tcPr>
            <w:tcW w:w="397" w:type="dxa"/>
          </w:tcPr>
          <w:p w14:paraId="5179A10A" w14:textId="77777777" w:rsidR="00BC6421" w:rsidRPr="00B3381F" w:rsidRDefault="00BC6421" w:rsidP="00160A20">
            <w:pPr>
              <w:spacing w:line="259" w:lineRule="auto"/>
              <w:rPr>
                <w:rFonts w:ascii="Calibri" w:eastAsia="Calibri" w:hAnsi="Calibri"/>
                <w:sz w:val="22"/>
                <w:lang w:eastAsia="en-US"/>
              </w:rPr>
            </w:pPr>
          </w:p>
        </w:tc>
        <w:tc>
          <w:tcPr>
            <w:tcW w:w="397" w:type="dxa"/>
          </w:tcPr>
          <w:p w14:paraId="4223CB62" w14:textId="77777777" w:rsidR="00BC6421" w:rsidRPr="00B3381F" w:rsidRDefault="00BC6421" w:rsidP="00160A20">
            <w:pPr>
              <w:spacing w:line="259" w:lineRule="auto"/>
              <w:rPr>
                <w:rFonts w:ascii="Calibri" w:eastAsia="Calibri" w:hAnsi="Calibri"/>
                <w:sz w:val="22"/>
                <w:lang w:eastAsia="en-US"/>
              </w:rPr>
            </w:pPr>
          </w:p>
        </w:tc>
        <w:tc>
          <w:tcPr>
            <w:tcW w:w="397" w:type="dxa"/>
          </w:tcPr>
          <w:p w14:paraId="723E44C4" w14:textId="77777777" w:rsidR="00BC6421" w:rsidRPr="00B3381F" w:rsidRDefault="00BC6421" w:rsidP="00160A20">
            <w:pPr>
              <w:spacing w:line="259" w:lineRule="auto"/>
              <w:rPr>
                <w:rFonts w:ascii="Calibri" w:eastAsia="Calibri" w:hAnsi="Calibri"/>
                <w:sz w:val="22"/>
                <w:lang w:eastAsia="en-US"/>
              </w:rPr>
            </w:pPr>
          </w:p>
        </w:tc>
        <w:tc>
          <w:tcPr>
            <w:tcW w:w="397" w:type="dxa"/>
          </w:tcPr>
          <w:p w14:paraId="59E10F0F"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A0B9608" w14:textId="77777777" w:rsidR="00BC6421" w:rsidRPr="00B3381F" w:rsidRDefault="00BC6421" w:rsidP="00160A20">
            <w:pPr>
              <w:spacing w:line="259" w:lineRule="auto"/>
              <w:rPr>
                <w:rFonts w:ascii="Calibri" w:eastAsia="Calibri" w:hAnsi="Calibri"/>
                <w:sz w:val="22"/>
                <w:lang w:eastAsia="en-US"/>
              </w:rPr>
            </w:pPr>
          </w:p>
        </w:tc>
        <w:tc>
          <w:tcPr>
            <w:tcW w:w="397" w:type="dxa"/>
          </w:tcPr>
          <w:p w14:paraId="198773BF" w14:textId="77777777" w:rsidR="00BC6421" w:rsidRPr="00B3381F" w:rsidRDefault="00BC6421" w:rsidP="00160A20">
            <w:pPr>
              <w:spacing w:line="259" w:lineRule="auto"/>
              <w:rPr>
                <w:rFonts w:ascii="Calibri" w:eastAsia="Calibri" w:hAnsi="Calibri"/>
                <w:sz w:val="22"/>
                <w:lang w:eastAsia="en-US"/>
              </w:rPr>
            </w:pPr>
          </w:p>
        </w:tc>
      </w:tr>
      <w:tr w:rsidR="00BC6421" w:rsidRPr="00B3381F" w14:paraId="683C4BA9" w14:textId="77777777" w:rsidTr="00BC6421">
        <w:trPr>
          <w:gridAfter w:val="1"/>
          <w:wAfter w:w="56" w:type="dxa"/>
        </w:trPr>
        <w:tc>
          <w:tcPr>
            <w:tcW w:w="4025" w:type="dxa"/>
            <w:shd w:val="clear" w:color="auto" w:fill="2F5496" w:themeFill="accent1" w:themeFillShade="BF"/>
          </w:tcPr>
          <w:p w14:paraId="73BF8367" w14:textId="77777777" w:rsidR="00BC6421" w:rsidRPr="00B3381F" w:rsidRDefault="00BC6421" w:rsidP="00160A20">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v analyse and critically evaluate competing perspectives, recognise contested concepts and inspect their impact on youth and community work</w:t>
            </w:r>
          </w:p>
        </w:tc>
        <w:tc>
          <w:tcPr>
            <w:tcW w:w="370" w:type="dxa"/>
          </w:tcPr>
          <w:p w14:paraId="1520FB3C" w14:textId="77777777" w:rsidR="00BC6421" w:rsidRPr="00B3381F" w:rsidRDefault="00BC6421" w:rsidP="00160A20">
            <w:pPr>
              <w:spacing w:line="256" w:lineRule="auto"/>
              <w:rPr>
                <w:rFonts w:ascii="Calibri" w:eastAsia="Calibri" w:hAnsi="Calibri" w:cs="Arial"/>
                <w:sz w:val="24"/>
                <w:szCs w:val="24"/>
                <w:lang w:eastAsia="en-US"/>
              </w:rPr>
            </w:pPr>
          </w:p>
        </w:tc>
        <w:tc>
          <w:tcPr>
            <w:tcW w:w="338" w:type="dxa"/>
          </w:tcPr>
          <w:p w14:paraId="2D52E72B"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607B2334"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6F025FC6"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49211F9F"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16C6F7CC"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6A1D0933"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76F6DD4A"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7945212" w14:textId="77777777" w:rsidR="00BC6421" w:rsidRPr="00B3381F" w:rsidRDefault="00BC6421" w:rsidP="00160A20">
            <w:pPr>
              <w:spacing w:line="256" w:lineRule="auto"/>
              <w:rPr>
                <w:rFonts w:ascii="Calibri" w:eastAsia="Calibri" w:hAnsi="Calibri"/>
                <w:sz w:val="22"/>
                <w:lang w:eastAsia="en-US"/>
              </w:rPr>
            </w:pPr>
          </w:p>
        </w:tc>
        <w:tc>
          <w:tcPr>
            <w:tcW w:w="397" w:type="dxa"/>
          </w:tcPr>
          <w:p w14:paraId="101D75DA"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53EE2AB"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88A95FB" w14:textId="77777777" w:rsidR="00BC6421" w:rsidRPr="00B3381F" w:rsidRDefault="00BC6421" w:rsidP="00160A20">
            <w:pPr>
              <w:spacing w:line="256" w:lineRule="auto"/>
              <w:rPr>
                <w:rFonts w:ascii="Calibri" w:eastAsia="Calibri" w:hAnsi="Calibri"/>
                <w:sz w:val="22"/>
                <w:lang w:eastAsia="en-US"/>
              </w:rPr>
            </w:pPr>
          </w:p>
        </w:tc>
        <w:tc>
          <w:tcPr>
            <w:tcW w:w="397" w:type="dxa"/>
          </w:tcPr>
          <w:p w14:paraId="27A8B28D" w14:textId="77777777" w:rsidR="00BC6421" w:rsidRPr="00B3381F" w:rsidRDefault="00BC6421" w:rsidP="00160A20">
            <w:pPr>
              <w:spacing w:line="256" w:lineRule="auto"/>
              <w:rPr>
                <w:rFonts w:ascii="Calibri" w:eastAsia="Calibri" w:hAnsi="Calibri"/>
                <w:sz w:val="22"/>
                <w:lang w:eastAsia="en-US"/>
              </w:rPr>
            </w:pPr>
          </w:p>
        </w:tc>
        <w:tc>
          <w:tcPr>
            <w:tcW w:w="397" w:type="dxa"/>
          </w:tcPr>
          <w:p w14:paraId="0DD68213"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948C4E0"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7B5CB7E" w14:textId="77777777" w:rsidR="00BC6421" w:rsidRPr="00B3381F" w:rsidRDefault="00BC6421" w:rsidP="00160A20">
            <w:pPr>
              <w:spacing w:line="256" w:lineRule="auto"/>
              <w:rPr>
                <w:rFonts w:ascii="Calibri" w:eastAsia="Calibri" w:hAnsi="Calibri"/>
                <w:sz w:val="22"/>
                <w:lang w:eastAsia="en-US"/>
              </w:rPr>
            </w:pPr>
          </w:p>
        </w:tc>
        <w:tc>
          <w:tcPr>
            <w:tcW w:w="397" w:type="dxa"/>
          </w:tcPr>
          <w:p w14:paraId="144CA660"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B975F41"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92E2B29" w14:textId="77777777" w:rsidR="00BC6421" w:rsidRPr="00B3381F" w:rsidRDefault="00BC6421" w:rsidP="00160A20">
            <w:pPr>
              <w:spacing w:line="259" w:lineRule="auto"/>
              <w:rPr>
                <w:rFonts w:ascii="Calibri" w:eastAsia="Calibri" w:hAnsi="Calibri"/>
                <w:sz w:val="22"/>
                <w:lang w:eastAsia="en-US"/>
              </w:rPr>
            </w:pPr>
          </w:p>
        </w:tc>
        <w:tc>
          <w:tcPr>
            <w:tcW w:w="397" w:type="dxa"/>
          </w:tcPr>
          <w:p w14:paraId="5B3AA8F9" w14:textId="77777777" w:rsidR="00BC6421" w:rsidRPr="00B3381F" w:rsidRDefault="00BC6421" w:rsidP="00160A20">
            <w:pPr>
              <w:spacing w:line="259" w:lineRule="auto"/>
              <w:rPr>
                <w:rFonts w:ascii="Calibri" w:eastAsia="Calibri" w:hAnsi="Calibri"/>
                <w:sz w:val="22"/>
                <w:lang w:eastAsia="en-US"/>
              </w:rPr>
            </w:pPr>
          </w:p>
        </w:tc>
        <w:tc>
          <w:tcPr>
            <w:tcW w:w="397" w:type="dxa"/>
          </w:tcPr>
          <w:p w14:paraId="74713391" w14:textId="77777777" w:rsidR="00BC6421" w:rsidRPr="00B3381F" w:rsidRDefault="00BC6421" w:rsidP="00160A20">
            <w:pPr>
              <w:spacing w:line="259" w:lineRule="auto"/>
              <w:rPr>
                <w:rFonts w:ascii="Calibri" w:eastAsia="Calibri" w:hAnsi="Calibri"/>
                <w:sz w:val="22"/>
                <w:lang w:eastAsia="en-US"/>
              </w:rPr>
            </w:pPr>
          </w:p>
        </w:tc>
        <w:tc>
          <w:tcPr>
            <w:tcW w:w="397" w:type="dxa"/>
          </w:tcPr>
          <w:p w14:paraId="35D43D15"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A382EC3" w14:textId="77777777" w:rsidR="00BC6421" w:rsidRPr="00B3381F" w:rsidRDefault="00BC6421" w:rsidP="00160A20">
            <w:pPr>
              <w:spacing w:line="259" w:lineRule="auto"/>
              <w:rPr>
                <w:rFonts w:ascii="Calibri" w:eastAsia="Calibri" w:hAnsi="Calibri"/>
                <w:sz w:val="22"/>
                <w:lang w:eastAsia="en-US"/>
              </w:rPr>
            </w:pPr>
          </w:p>
        </w:tc>
        <w:tc>
          <w:tcPr>
            <w:tcW w:w="397" w:type="dxa"/>
          </w:tcPr>
          <w:p w14:paraId="4866CA67"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A6FA9E9" w14:textId="77777777" w:rsidR="00BC6421" w:rsidRPr="00B3381F" w:rsidRDefault="00BC6421" w:rsidP="00160A20">
            <w:pPr>
              <w:spacing w:line="259" w:lineRule="auto"/>
              <w:rPr>
                <w:rFonts w:ascii="Calibri" w:eastAsia="Calibri" w:hAnsi="Calibri"/>
                <w:sz w:val="22"/>
                <w:lang w:eastAsia="en-US"/>
              </w:rPr>
            </w:pPr>
          </w:p>
        </w:tc>
        <w:tc>
          <w:tcPr>
            <w:tcW w:w="397" w:type="dxa"/>
          </w:tcPr>
          <w:p w14:paraId="18D616FB" w14:textId="77777777" w:rsidR="00BC6421" w:rsidRPr="00B3381F" w:rsidRDefault="00BC6421" w:rsidP="00160A20">
            <w:pPr>
              <w:spacing w:line="259" w:lineRule="auto"/>
              <w:rPr>
                <w:rFonts w:ascii="Calibri" w:eastAsia="Calibri" w:hAnsi="Calibri"/>
                <w:sz w:val="22"/>
                <w:lang w:eastAsia="en-US"/>
              </w:rPr>
            </w:pPr>
          </w:p>
        </w:tc>
      </w:tr>
      <w:tr w:rsidR="00BC6421" w:rsidRPr="00B3381F" w14:paraId="19ECE359" w14:textId="77777777" w:rsidTr="00BC6421">
        <w:trPr>
          <w:gridAfter w:val="1"/>
          <w:wAfter w:w="56" w:type="dxa"/>
        </w:trPr>
        <w:tc>
          <w:tcPr>
            <w:tcW w:w="4025" w:type="dxa"/>
            <w:shd w:val="clear" w:color="auto" w:fill="2F5496" w:themeFill="accent1" w:themeFillShade="BF"/>
          </w:tcPr>
          <w:p w14:paraId="6C2F803D" w14:textId="77777777" w:rsidR="00BC6421" w:rsidRPr="00B3381F" w:rsidRDefault="00BC6421" w:rsidP="00160A20">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vi locate youth and community within dominant discourses and perspectives and justify arguments for change if required</w:t>
            </w:r>
          </w:p>
        </w:tc>
        <w:tc>
          <w:tcPr>
            <w:tcW w:w="370" w:type="dxa"/>
          </w:tcPr>
          <w:p w14:paraId="755788F0" w14:textId="77777777" w:rsidR="00BC6421" w:rsidRPr="00B3381F" w:rsidRDefault="00BC6421" w:rsidP="00160A20">
            <w:pPr>
              <w:spacing w:line="256" w:lineRule="auto"/>
              <w:rPr>
                <w:rFonts w:ascii="Calibri" w:eastAsia="Calibri" w:hAnsi="Calibri" w:cs="Arial"/>
                <w:sz w:val="24"/>
                <w:szCs w:val="24"/>
                <w:lang w:eastAsia="en-US"/>
              </w:rPr>
            </w:pPr>
          </w:p>
        </w:tc>
        <w:tc>
          <w:tcPr>
            <w:tcW w:w="338" w:type="dxa"/>
          </w:tcPr>
          <w:p w14:paraId="3A2D44DE"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75B7BEDA"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2521B8F8"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19C1BAAB"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3822EAEB"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2E9B0713"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0C6B253E" w14:textId="77777777" w:rsidR="00BC6421" w:rsidRPr="00B3381F" w:rsidRDefault="00BC6421" w:rsidP="00160A20">
            <w:pPr>
              <w:spacing w:line="256" w:lineRule="auto"/>
              <w:rPr>
                <w:rFonts w:ascii="Calibri" w:eastAsia="Calibri" w:hAnsi="Calibri"/>
                <w:sz w:val="22"/>
                <w:lang w:eastAsia="en-US"/>
              </w:rPr>
            </w:pPr>
          </w:p>
        </w:tc>
        <w:tc>
          <w:tcPr>
            <w:tcW w:w="397" w:type="dxa"/>
          </w:tcPr>
          <w:p w14:paraId="05807DFD" w14:textId="77777777" w:rsidR="00BC6421" w:rsidRPr="00B3381F" w:rsidRDefault="00BC6421" w:rsidP="00160A20">
            <w:pPr>
              <w:spacing w:line="256" w:lineRule="auto"/>
              <w:rPr>
                <w:rFonts w:ascii="Calibri" w:eastAsia="Calibri" w:hAnsi="Calibri"/>
                <w:sz w:val="22"/>
                <w:lang w:eastAsia="en-US"/>
              </w:rPr>
            </w:pPr>
          </w:p>
        </w:tc>
        <w:tc>
          <w:tcPr>
            <w:tcW w:w="397" w:type="dxa"/>
          </w:tcPr>
          <w:p w14:paraId="2D6E0ACF"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1A16E01"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9060F27"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8802F7F" w14:textId="77777777" w:rsidR="00BC6421" w:rsidRPr="00B3381F" w:rsidRDefault="00BC6421" w:rsidP="00160A20">
            <w:pPr>
              <w:spacing w:line="256" w:lineRule="auto"/>
              <w:rPr>
                <w:rFonts w:ascii="Calibri" w:eastAsia="Calibri" w:hAnsi="Calibri"/>
                <w:sz w:val="22"/>
                <w:lang w:eastAsia="en-US"/>
              </w:rPr>
            </w:pPr>
          </w:p>
        </w:tc>
        <w:tc>
          <w:tcPr>
            <w:tcW w:w="397" w:type="dxa"/>
          </w:tcPr>
          <w:p w14:paraId="48AAFD4B"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2C3FE23" w14:textId="77777777" w:rsidR="00BC6421" w:rsidRPr="00B3381F" w:rsidRDefault="00BC6421" w:rsidP="00160A20">
            <w:pPr>
              <w:spacing w:line="256" w:lineRule="auto"/>
              <w:rPr>
                <w:rFonts w:ascii="Calibri" w:eastAsia="Calibri" w:hAnsi="Calibri"/>
                <w:sz w:val="22"/>
                <w:lang w:eastAsia="en-US"/>
              </w:rPr>
            </w:pPr>
          </w:p>
        </w:tc>
        <w:tc>
          <w:tcPr>
            <w:tcW w:w="397" w:type="dxa"/>
          </w:tcPr>
          <w:p w14:paraId="13F96108"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10C1AFD" w14:textId="77777777" w:rsidR="00BC6421" w:rsidRPr="00B3381F" w:rsidRDefault="00BC6421" w:rsidP="00160A20">
            <w:pPr>
              <w:spacing w:line="256" w:lineRule="auto"/>
              <w:rPr>
                <w:rFonts w:ascii="Calibri" w:eastAsia="Calibri" w:hAnsi="Calibri"/>
                <w:sz w:val="22"/>
                <w:lang w:eastAsia="en-US"/>
              </w:rPr>
            </w:pPr>
          </w:p>
        </w:tc>
        <w:tc>
          <w:tcPr>
            <w:tcW w:w="397" w:type="dxa"/>
          </w:tcPr>
          <w:p w14:paraId="287446C2" w14:textId="77777777" w:rsidR="00BC6421" w:rsidRPr="00B3381F" w:rsidRDefault="00BC6421" w:rsidP="00160A20">
            <w:pPr>
              <w:spacing w:line="256" w:lineRule="auto"/>
              <w:rPr>
                <w:rFonts w:ascii="Calibri" w:eastAsia="Calibri" w:hAnsi="Calibri"/>
                <w:sz w:val="22"/>
                <w:lang w:eastAsia="en-US"/>
              </w:rPr>
            </w:pPr>
          </w:p>
        </w:tc>
        <w:tc>
          <w:tcPr>
            <w:tcW w:w="397" w:type="dxa"/>
          </w:tcPr>
          <w:p w14:paraId="0FCB5B11" w14:textId="77777777" w:rsidR="00BC6421" w:rsidRPr="00B3381F" w:rsidRDefault="00BC6421" w:rsidP="00160A20">
            <w:pPr>
              <w:spacing w:line="259" w:lineRule="auto"/>
              <w:rPr>
                <w:rFonts w:ascii="Calibri" w:eastAsia="Calibri" w:hAnsi="Calibri"/>
                <w:sz w:val="22"/>
                <w:lang w:eastAsia="en-US"/>
              </w:rPr>
            </w:pPr>
          </w:p>
        </w:tc>
        <w:tc>
          <w:tcPr>
            <w:tcW w:w="397" w:type="dxa"/>
          </w:tcPr>
          <w:p w14:paraId="077165CF"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45B6661" w14:textId="77777777" w:rsidR="00BC6421" w:rsidRPr="00B3381F" w:rsidRDefault="00BC6421" w:rsidP="00160A20">
            <w:pPr>
              <w:spacing w:line="259" w:lineRule="auto"/>
              <w:rPr>
                <w:rFonts w:ascii="Calibri" w:eastAsia="Calibri" w:hAnsi="Calibri"/>
                <w:sz w:val="22"/>
                <w:lang w:eastAsia="en-US"/>
              </w:rPr>
            </w:pPr>
          </w:p>
        </w:tc>
        <w:tc>
          <w:tcPr>
            <w:tcW w:w="397" w:type="dxa"/>
          </w:tcPr>
          <w:p w14:paraId="61736935"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3980B85" w14:textId="77777777" w:rsidR="00BC6421" w:rsidRPr="00B3381F" w:rsidRDefault="00BC6421" w:rsidP="00160A20">
            <w:pPr>
              <w:spacing w:line="259" w:lineRule="auto"/>
              <w:rPr>
                <w:rFonts w:ascii="Calibri" w:eastAsia="Calibri" w:hAnsi="Calibri"/>
                <w:sz w:val="22"/>
                <w:lang w:eastAsia="en-US"/>
              </w:rPr>
            </w:pPr>
          </w:p>
        </w:tc>
        <w:tc>
          <w:tcPr>
            <w:tcW w:w="397" w:type="dxa"/>
          </w:tcPr>
          <w:p w14:paraId="1AFEAB0F" w14:textId="77777777" w:rsidR="00BC6421" w:rsidRPr="00B3381F" w:rsidRDefault="00BC6421" w:rsidP="00160A20">
            <w:pPr>
              <w:spacing w:line="259" w:lineRule="auto"/>
              <w:rPr>
                <w:rFonts w:ascii="Calibri" w:eastAsia="Calibri" w:hAnsi="Calibri"/>
                <w:sz w:val="22"/>
                <w:lang w:eastAsia="en-US"/>
              </w:rPr>
            </w:pPr>
          </w:p>
        </w:tc>
        <w:tc>
          <w:tcPr>
            <w:tcW w:w="397" w:type="dxa"/>
          </w:tcPr>
          <w:p w14:paraId="36F52BB3" w14:textId="77777777" w:rsidR="00BC6421" w:rsidRPr="00B3381F" w:rsidRDefault="00BC6421" w:rsidP="00160A20">
            <w:pPr>
              <w:spacing w:line="259" w:lineRule="auto"/>
              <w:rPr>
                <w:rFonts w:ascii="Calibri" w:eastAsia="Calibri" w:hAnsi="Calibri"/>
                <w:sz w:val="22"/>
                <w:lang w:eastAsia="en-US"/>
              </w:rPr>
            </w:pPr>
          </w:p>
        </w:tc>
        <w:tc>
          <w:tcPr>
            <w:tcW w:w="397" w:type="dxa"/>
          </w:tcPr>
          <w:p w14:paraId="769A5647" w14:textId="77777777" w:rsidR="00BC6421" w:rsidRPr="00B3381F" w:rsidRDefault="00BC6421" w:rsidP="00160A20">
            <w:pPr>
              <w:spacing w:line="259" w:lineRule="auto"/>
              <w:rPr>
                <w:rFonts w:ascii="Calibri" w:eastAsia="Calibri" w:hAnsi="Calibri"/>
                <w:sz w:val="22"/>
                <w:lang w:eastAsia="en-US"/>
              </w:rPr>
            </w:pPr>
          </w:p>
        </w:tc>
      </w:tr>
      <w:tr w:rsidR="00BC6421" w:rsidRPr="00B3381F" w14:paraId="67F1BC20" w14:textId="77777777" w:rsidTr="00BC6421">
        <w:trPr>
          <w:gridAfter w:val="1"/>
          <w:wAfter w:w="56" w:type="dxa"/>
        </w:trPr>
        <w:tc>
          <w:tcPr>
            <w:tcW w:w="4025" w:type="dxa"/>
            <w:shd w:val="clear" w:color="auto" w:fill="2F5496" w:themeFill="accent1" w:themeFillShade="BF"/>
          </w:tcPr>
          <w:p w14:paraId="2FDA830F" w14:textId="77777777" w:rsidR="00BC6421" w:rsidRPr="00B3381F" w:rsidRDefault="00BC6421" w:rsidP="00160A20">
            <w:pPr>
              <w:spacing w:line="256" w:lineRule="auto"/>
              <w:rPr>
                <w:rFonts w:asciiTheme="majorHAnsi" w:eastAsia="Calibri" w:hAnsiTheme="majorHAnsi" w:cstheme="majorHAnsi"/>
                <w:bCs/>
                <w:color w:val="FFFFFF" w:themeColor="background1"/>
                <w:sz w:val="24"/>
                <w:szCs w:val="24"/>
                <w:lang w:eastAsia="en-US"/>
              </w:rPr>
            </w:pPr>
            <w:r w:rsidRPr="00B3381F">
              <w:rPr>
                <w:rFonts w:asciiTheme="majorHAnsi" w:eastAsia="Calibri" w:hAnsiTheme="majorHAnsi" w:cstheme="majorHAnsi"/>
                <w:bCs/>
                <w:color w:val="FFFFFF" w:themeColor="background1"/>
                <w:sz w:val="24"/>
                <w:szCs w:val="24"/>
                <w:lang w:eastAsia="en-US"/>
              </w:rPr>
              <w:t xml:space="preserve">vii interpret and justify the practice of youth </w:t>
            </w:r>
            <w:r w:rsidRPr="00B3381F">
              <w:rPr>
                <w:rFonts w:asciiTheme="minorHAnsi" w:eastAsia="Calibri" w:hAnsiTheme="minorHAnsi" w:cstheme="minorHAnsi"/>
                <w:bCs/>
                <w:color w:val="FFFFFF" w:themeColor="background1"/>
                <w:sz w:val="24"/>
                <w:szCs w:val="24"/>
                <w:lang w:eastAsia="en-US"/>
              </w:rPr>
              <w:t>work</w:t>
            </w:r>
            <w:r w:rsidRPr="00B3381F">
              <w:rPr>
                <w:rFonts w:asciiTheme="majorHAnsi" w:eastAsia="Calibri" w:hAnsiTheme="majorHAnsi" w:cstheme="majorHAnsi"/>
                <w:bCs/>
                <w:color w:val="FFFFFF" w:themeColor="background1"/>
                <w:sz w:val="24"/>
                <w:szCs w:val="24"/>
                <w:lang w:eastAsia="en-US"/>
              </w:rPr>
              <w:t>, community education and community development within professions, society and social policy.</w:t>
            </w:r>
          </w:p>
        </w:tc>
        <w:tc>
          <w:tcPr>
            <w:tcW w:w="370" w:type="dxa"/>
          </w:tcPr>
          <w:p w14:paraId="6CE292FD" w14:textId="77777777" w:rsidR="00BC6421" w:rsidRPr="00B3381F" w:rsidRDefault="00BC6421" w:rsidP="00160A20">
            <w:pPr>
              <w:spacing w:line="256" w:lineRule="auto"/>
              <w:rPr>
                <w:rFonts w:ascii="Calibri" w:eastAsia="Calibri" w:hAnsi="Calibri" w:cs="Arial"/>
                <w:sz w:val="24"/>
                <w:szCs w:val="24"/>
                <w:lang w:eastAsia="en-US"/>
              </w:rPr>
            </w:pPr>
          </w:p>
        </w:tc>
        <w:tc>
          <w:tcPr>
            <w:tcW w:w="338" w:type="dxa"/>
          </w:tcPr>
          <w:p w14:paraId="4B2DEB1F"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3BA1DDCD"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4BC6DDA2"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273179BA"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3017A14C"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1593BA74" w14:textId="77777777" w:rsidR="00BC6421" w:rsidRPr="00B3381F" w:rsidRDefault="00BC6421" w:rsidP="00160A20">
            <w:pPr>
              <w:spacing w:line="256" w:lineRule="auto"/>
              <w:rPr>
                <w:rFonts w:ascii="Calibri" w:eastAsia="Calibri" w:hAnsi="Calibri" w:cs="Arial"/>
                <w:sz w:val="24"/>
                <w:szCs w:val="24"/>
                <w:lang w:eastAsia="en-US"/>
              </w:rPr>
            </w:pPr>
          </w:p>
        </w:tc>
        <w:tc>
          <w:tcPr>
            <w:tcW w:w="397" w:type="dxa"/>
          </w:tcPr>
          <w:p w14:paraId="5F649F73" w14:textId="77777777" w:rsidR="00BC6421" w:rsidRPr="00B3381F" w:rsidRDefault="00BC6421" w:rsidP="00160A20">
            <w:pPr>
              <w:spacing w:line="256" w:lineRule="auto"/>
              <w:rPr>
                <w:rFonts w:ascii="Calibri" w:eastAsia="Calibri" w:hAnsi="Calibri"/>
                <w:sz w:val="22"/>
                <w:lang w:eastAsia="en-US"/>
              </w:rPr>
            </w:pPr>
          </w:p>
        </w:tc>
        <w:tc>
          <w:tcPr>
            <w:tcW w:w="397" w:type="dxa"/>
          </w:tcPr>
          <w:p w14:paraId="3245D82B" w14:textId="77777777" w:rsidR="00BC6421" w:rsidRPr="00B3381F" w:rsidRDefault="00BC6421" w:rsidP="00160A20">
            <w:pPr>
              <w:spacing w:line="256" w:lineRule="auto"/>
              <w:rPr>
                <w:rFonts w:ascii="Calibri" w:eastAsia="Calibri" w:hAnsi="Calibri"/>
                <w:sz w:val="22"/>
                <w:lang w:eastAsia="en-US"/>
              </w:rPr>
            </w:pPr>
          </w:p>
        </w:tc>
        <w:tc>
          <w:tcPr>
            <w:tcW w:w="397" w:type="dxa"/>
          </w:tcPr>
          <w:p w14:paraId="3C82B7D9" w14:textId="77777777" w:rsidR="00BC6421" w:rsidRPr="00B3381F" w:rsidRDefault="00BC6421" w:rsidP="00160A20">
            <w:pPr>
              <w:spacing w:line="256" w:lineRule="auto"/>
              <w:rPr>
                <w:rFonts w:ascii="Calibri" w:eastAsia="Calibri" w:hAnsi="Calibri"/>
                <w:sz w:val="22"/>
                <w:lang w:eastAsia="en-US"/>
              </w:rPr>
            </w:pPr>
          </w:p>
        </w:tc>
        <w:tc>
          <w:tcPr>
            <w:tcW w:w="397" w:type="dxa"/>
          </w:tcPr>
          <w:p w14:paraId="7DD3CB95" w14:textId="77777777" w:rsidR="00BC6421" w:rsidRPr="00B3381F" w:rsidRDefault="00BC6421" w:rsidP="00160A20">
            <w:pPr>
              <w:spacing w:line="256" w:lineRule="auto"/>
              <w:rPr>
                <w:rFonts w:ascii="Calibri" w:eastAsia="Calibri" w:hAnsi="Calibri"/>
                <w:sz w:val="22"/>
                <w:lang w:eastAsia="en-US"/>
              </w:rPr>
            </w:pPr>
          </w:p>
        </w:tc>
        <w:tc>
          <w:tcPr>
            <w:tcW w:w="397" w:type="dxa"/>
          </w:tcPr>
          <w:p w14:paraId="41360578"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07CADA0"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A1DB594" w14:textId="77777777" w:rsidR="00BC6421" w:rsidRPr="00B3381F" w:rsidRDefault="00BC6421" w:rsidP="00160A20">
            <w:pPr>
              <w:spacing w:line="256" w:lineRule="auto"/>
              <w:rPr>
                <w:rFonts w:ascii="Calibri" w:eastAsia="Calibri" w:hAnsi="Calibri"/>
                <w:sz w:val="22"/>
                <w:lang w:eastAsia="en-US"/>
              </w:rPr>
            </w:pPr>
          </w:p>
        </w:tc>
        <w:tc>
          <w:tcPr>
            <w:tcW w:w="397" w:type="dxa"/>
          </w:tcPr>
          <w:p w14:paraId="40CBE288"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8BE473B"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6BF9BBE" w14:textId="77777777" w:rsidR="00BC6421" w:rsidRPr="00B3381F" w:rsidRDefault="00BC6421" w:rsidP="00160A20">
            <w:pPr>
              <w:spacing w:line="256" w:lineRule="auto"/>
              <w:rPr>
                <w:rFonts w:ascii="Calibri" w:eastAsia="Calibri" w:hAnsi="Calibri"/>
                <w:sz w:val="22"/>
                <w:lang w:eastAsia="en-US"/>
              </w:rPr>
            </w:pPr>
          </w:p>
        </w:tc>
        <w:tc>
          <w:tcPr>
            <w:tcW w:w="397" w:type="dxa"/>
          </w:tcPr>
          <w:p w14:paraId="5FC6A4C8" w14:textId="77777777" w:rsidR="00BC6421" w:rsidRPr="00B3381F" w:rsidRDefault="00BC6421" w:rsidP="00160A20">
            <w:pPr>
              <w:spacing w:line="256" w:lineRule="auto"/>
              <w:rPr>
                <w:rFonts w:ascii="Calibri" w:eastAsia="Calibri" w:hAnsi="Calibri"/>
                <w:sz w:val="22"/>
                <w:lang w:eastAsia="en-US"/>
              </w:rPr>
            </w:pPr>
          </w:p>
        </w:tc>
        <w:tc>
          <w:tcPr>
            <w:tcW w:w="397" w:type="dxa"/>
          </w:tcPr>
          <w:p w14:paraId="62AC87E9" w14:textId="77777777" w:rsidR="00BC6421" w:rsidRPr="00B3381F" w:rsidRDefault="00BC6421" w:rsidP="00160A20">
            <w:pPr>
              <w:spacing w:line="259" w:lineRule="auto"/>
              <w:rPr>
                <w:rFonts w:ascii="Calibri" w:eastAsia="Calibri" w:hAnsi="Calibri"/>
                <w:sz w:val="22"/>
                <w:lang w:eastAsia="en-US"/>
              </w:rPr>
            </w:pPr>
          </w:p>
        </w:tc>
        <w:tc>
          <w:tcPr>
            <w:tcW w:w="397" w:type="dxa"/>
          </w:tcPr>
          <w:p w14:paraId="0FE6EE22"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94A44D3" w14:textId="77777777" w:rsidR="00BC6421" w:rsidRPr="00B3381F" w:rsidRDefault="00BC6421" w:rsidP="00160A20">
            <w:pPr>
              <w:spacing w:line="259" w:lineRule="auto"/>
              <w:rPr>
                <w:rFonts w:ascii="Calibri" w:eastAsia="Calibri" w:hAnsi="Calibri"/>
                <w:sz w:val="22"/>
                <w:lang w:eastAsia="en-US"/>
              </w:rPr>
            </w:pPr>
          </w:p>
        </w:tc>
        <w:tc>
          <w:tcPr>
            <w:tcW w:w="397" w:type="dxa"/>
          </w:tcPr>
          <w:p w14:paraId="213F2E84" w14:textId="77777777" w:rsidR="00BC6421" w:rsidRPr="00B3381F" w:rsidRDefault="00BC6421" w:rsidP="00160A20">
            <w:pPr>
              <w:spacing w:line="259" w:lineRule="auto"/>
              <w:rPr>
                <w:rFonts w:ascii="Calibri" w:eastAsia="Calibri" w:hAnsi="Calibri"/>
                <w:sz w:val="22"/>
                <w:lang w:eastAsia="en-US"/>
              </w:rPr>
            </w:pPr>
          </w:p>
        </w:tc>
        <w:tc>
          <w:tcPr>
            <w:tcW w:w="397" w:type="dxa"/>
          </w:tcPr>
          <w:p w14:paraId="0FE84BF5" w14:textId="77777777" w:rsidR="00BC6421" w:rsidRPr="00B3381F" w:rsidRDefault="00BC6421" w:rsidP="00160A20">
            <w:pPr>
              <w:spacing w:line="259" w:lineRule="auto"/>
              <w:rPr>
                <w:rFonts w:ascii="Calibri" w:eastAsia="Calibri" w:hAnsi="Calibri"/>
                <w:sz w:val="22"/>
                <w:lang w:eastAsia="en-US"/>
              </w:rPr>
            </w:pPr>
          </w:p>
        </w:tc>
        <w:tc>
          <w:tcPr>
            <w:tcW w:w="397" w:type="dxa"/>
          </w:tcPr>
          <w:p w14:paraId="5DB6ACDA" w14:textId="77777777" w:rsidR="00BC6421" w:rsidRPr="00B3381F" w:rsidRDefault="00BC6421" w:rsidP="00160A20">
            <w:pPr>
              <w:spacing w:line="259" w:lineRule="auto"/>
              <w:rPr>
                <w:rFonts w:ascii="Calibri" w:eastAsia="Calibri" w:hAnsi="Calibri"/>
                <w:sz w:val="22"/>
                <w:lang w:eastAsia="en-US"/>
              </w:rPr>
            </w:pPr>
          </w:p>
        </w:tc>
        <w:tc>
          <w:tcPr>
            <w:tcW w:w="397" w:type="dxa"/>
          </w:tcPr>
          <w:p w14:paraId="4411FF89" w14:textId="77777777" w:rsidR="00BC6421" w:rsidRPr="00B3381F" w:rsidRDefault="00BC6421" w:rsidP="00160A20">
            <w:pPr>
              <w:spacing w:line="259" w:lineRule="auto"/>
              <w:rPr>
                <w:rFonts w:ascii="Calibri" w:eastAsia="Calibri" w:hAnsi="Calibri"/>
                <w:sz w:val="22"/>
                <w:lang w:eastAsia="en-US"/>
              </w:rPr>
            </w:pPr>
          </w:p>
        </w:tc>
        <w:tc>
          <w:tcPr>
            <w:tcW w:w="397" w:type="dxa"/>
          </w:tcPr>
          <w:p w14:paraId="01850A88" w14:textId="77777777" w:rsidR="00BC6421" w:rsidRPr="00B3381F" w:rsidRDefault="00BC6421" w:rsidP="00160A20">
            <w:pPr>
              <w:spacing w:line="259" w:lineRule="auto"/>
              <w:rPr>
                <w:rFonts w:ascii="Calibri" w:eastAsia="Calibri" w:hAnsi="Calibri"/>
                <w:sz w:val="22"/>
                <w:lang w:eastAsia="en-US"/>
              </w:rPr>
            </w:pPr>
          </w:p>
        </w:tc>
      </w:tr>
    </w:tbl>
    <w:p w14:paraId="4795EA65" w14:textId="06823D74" w:rsid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br w:type="page"/>
      </w:r>
    </w:p>
    <w:tbl>
      <w:tblPr>
        <w:tblStyle w:val="TableGrid2"/>
        <w:tblW w:w="14317" w:type="dxa"/>
        <w:tblInd w:w="-147" w:type="dxa"/>
        <w:tblLayout w:type="fixed"/>
        <w:tblLook w:val="04A0" w:firstRow="1" w:lastRow="0" w:firstColumn="1" w:lastColumn="0" w:noHBand="0" w:noVBand="1"/>
      </w:tblPr>
      <w:tblGrid>
        <w:gridCol w:w="4025"/>
        <w:gridCol w:w="370"/>
        <w:gridCol w:w="33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56"/>
      </w:tblGrid>
      <w:tr w:rsidR="00BC6421" w:rsidRPr="00B3381F" w14:paraId="636F4B99" w14:textId="77777777" w:rsidTr="002E2D27">
        <w:trPr>
          <w:tblHeader/>
        </w:trPr>
        <w:tc>
          <w:tcPr>
            <w:tcW w:w="4025" w:type="dxa"/>
            <w:vMerge w:val="restart"/>
            <w:shd w:val="clear" w:color="auto" w:fill="D9D9D9" w:themeFill="background1" w:themeFillShade="D9"/>
          </w:tcPr>
          <w:p w14:paraId="33BFD675" w14:textId="77777777" w:rsidR="00BC6421" w:rsidRPr="00B3381F" w:rsidRDefault="00BC6421" w:rsidP="002E2D27">
            <w:pPr>
              <w:spacing w:before="120" w:after="120" w:line="256" w:lineRule="auto"/>
              <w:rPr>
                <w:rFonts w:ascii="Calibri" w:eastAsia="Calibri" w:hAnsi="Calibri" w:cs="Arial"/>
                <w:b/>
                <w:color w:val="0D558B"/>
                <w:sz w:val="24"/>
                <w:szCs w:val="24"/>
                <w:lang w:eastAsia="en-US"/>
              </w:rPr>
            </w:pPr>
            <w:r w:rsidRPr="00B3381F">
              <w:rPr>
                <w:rFonts w:ascii="Calibri" w:eastAsia="Calibri" w:hAnsi="Calibri" w:cs="Arial"/>
                <w:b/>
                <w:color w:val="0D558B"/>
                <w:sz w:val="24"/>
                <w:szCs w:val="24"/>
                <w:lang w:eastAsia="en-US"/>
              </w:rPr>
              <w:t>Subject Benchmark Statements for Youth and Community Work (2019)</w:t>
            </w:r>
          </w:p>
        </w:tc>
        <w:tc>
          <w:tcPr>
            <w:tcW w:w="10292" w:type="dxa"/>
            <w:gridSpan w:val="27"/>
            <w:shd w:val="clear" w:color="auto" w:fill="D9D9D9" w:themeFill="background1" w:themeFillShade="D9"/>
          </w:tcPr>
          <w:p w14:paraId="61931A92" w14:textId="48020035" w:rsidR="00BC6421" w:rsidRPr="00B3381F" w:rsidRDefault="00BC6421" w:rsidP="002E2D27">
            <w:pPr>
              <w:spacing w:before="120" w:after="120" w:line="256" w:lineRule="auto"/>
              <w:rPr>
                <w:rFonts w:ascii="Calibri" w:eastAsia="Calibri" w:hAnsi="Calibri" w:cs="Arial"/>
                <w:b/>
                <w:color w:val="0D558B"/>
                <w:sz w:val="24"/>
                <w:szCs w:val="24"/>
                <w:lang w:eastAsia="en-US"/>
              </w:rPr>
            </w:pPr>
            <w:r w:rsidRPr="00B3381F">
              <w:rPr>
                <w:rFonts w:ascii="Calibri" w:eastAsia="Calibri" w:hAnsi="Calibri" w:cs="Arial"/>
                <w:b/>
                <w:color w:val="0D558B"/>
                <w:sz w:val="24"/>
                <w:szCs w:val="24"/>
                <w:lang w:eastAsia="en-US"/>
              </w:rPr>
              <w:t xml:space="preserve">Course Learning outcomes  </w:t>
            </w:r>
            <w:r>
              <w:rPr>
                <w:rFonts w:ascii="Calibri" w:eastAsia="Calibri" w:hAnsi="Calibri" w:cs="Arial"/>
                <w:b/>
                <w:color w:val="0D558B"/>
                <w:sz w:val="24"/>
                <w:szCs w:val="24"/>
                <w:lang w:eastAsia="en-US"/>
              </w:rPr>
              <w:t>(CONTINUED)</w:t>
            </w:r>
          </w:p>
        </w:tc>
      </w:tr>
      <w:tr w:rsidR="00BC6421" w:rsidRPr="00B3381F" w14:paraId="11E2D6AD" w14:textId="77777777" w:rsidTr="002E2D27">
        <w:trPr>
          <w:gridAfter w:val="1"/>
          <w:wAfter w:w="56" w:type="dxa"/>
          <w:cantSplit/>
          <w:trHeight w:val="1762"/>
          <w:tblHeader/>
        </w:trPr>
        <w:tc>
          <w:tcPr>
            <w:tcW w:w="4025" w:type="dxa"/>
            <w:vMerge/>
          </w:tcPr>
          <w:p w14:paraId="3FB41063" w14:textId="77777777" w:rsidR="00BC6421" w:rsidRPr="00B3381F" w:rsidRDefault="00BC6421" w:rsidP="002E2D27">
            <w:pPr>
              <w:spacing w:before="120" w:after="120" w:line="256" w:lineRule="auto"/>
              <w:rPr>
                <w:rFonts w:ascii="Calibri" w:eastAsia="Calibri" w:hAnsi="Calibri" w:cs="Arial"/>
                <w:b/>
                <w:color w:val="0D558B"/>
                <w:sz w:val="24"/>
                <w:szCs w:val="24"/>
                <w:lang w:eastAsia="en-US"/>
              </w:rPr>
            </w:pPr>
          </w:p>
        </w:tc>
        <w:tc>
          <w:tcPr>
            <w:tcW w:w="370" w:type="dxa"/>
            <w:shd w:val="clear" w:color="auto" w:fill="D9D9D9" w:themeFill="background1" w:themeFillShade="D9"/>
            <w:textDirection w:val="btLr"/>
          </w:tcPr>
          <w:p w14:paraId="79E57DB4" w14:textId="594C577B" w:rsidR="00BC6421" w:rsidRPr="00B3381F" w:rsidRDefault="00BC6421" w:rsidP="002E2D27">
            <w:pPr>
              <w:spacing w:line="256" w:lineRule="auto"/>
              <w:ind w:left="113" w:right="113"/>
              <w:rPr>
                <w:rFonts w:ascii="Calibri" w:eastAsia="Calibri" w:hAnsi="Calibri" w:cs="Arial"/>
                <w:b/>
                <w:color w:val="0D558B"/>
                <w:sz w:val="24"/>
                <w:szCs w:val="24"/>
                <w:lang w:eastAsia="en-US"/>
              </w:rPr>
            </w:pPr>
            <w:r>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27</w:t>
            </w:r>
          </w:p>
        </w:tc>
        <w:tc>
          <w:tcPr>
            <w:tcW w:w="338" w:type="dxa"/>
            <w:shd w:val="clear" w:color="auto" w:fill="D9D9D9" w:themeFill="background1" w:themeFillShade="D9"/>
            <w:textDirection w:val="btLr"/>
          </w:tcPr>
          <w:p w14:paraId="74145720" w14:textId="7E6D256C" w:rsidR="00BC6421" w:rsidRPr="00B3381F" w:rsidRDefault="00BC6421" w:rsidP="002E2D27">
            <w:pPr>
              <w:spacing w:line="256" w:lineRule="auto"/>
              <w:ind w:left="113" w:right="113"/>
              <w:rPr>
                <w:rFonts w:ascii="Calibri" w:eastAsia="Calibri" w:hAnsi="Calibri" w:cs="Arial"/>
                <w:b/>
                <w:color w:val="595959"/>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28</w:t>
            </w:r>
          </w:p>
        </w:tc>
        <w:tc>
          <w:tcPr>
            <w:tcW w:w="397" w:type="dxa"/>
            <w:shd w:val="clear" w:color="auto" w:fill="D9D9D9" w:themeFill="background1" w:themeFillShade="D9"/>
            <w:textDirection w:val="btLr"/>
          </w:tcPr>
          <w:p w14:paraId="4B5F66D4" w14:textId="3D5E52E1" w:rsidR="00BC6421" w:rsidRPr="00B3381F" w:rsidRDefault="00BC6421" w:rsidP="002E2D27">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29</w:t>
            </w:r>
          </w:p>
        </w:tc>
        <w:tc>
          <w:tcPr>
            <w:tcW w:w="397" w:type="dxa"/>
            <w:shd w:val="clear" w:color="auto" w:fill="D9D9D9" w:themeFill="background1" w:themeFillShade="D9"/>
            <w:textDirection w:val="btLr"/>
          </w:tcPr>
          <w:p w14:paraId="25F8A4C4" w14:textId="64402D88" w:rsidR="00BC6421" w:rsidRPr="00B3381F" w:rsidRDefault="00BC6421" w:rsidP="002E2D27">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30</w:t>
            </w:r>
          </w:p>
        </w:tc>
        <w:tc>
          <w:tcPr>
            <w:tcW w:w="397" w:type="dxa"/>
            <w:shd w:val="clear" w:color="auto" w:fill="D9D9D9" w:themeFill="background1" w:themeFillShade="D9"/>
            <w:textDirection w:val="btLr"/>
          </w:tcPr>
          <w:p w14:paraId="4ED5AD32" w14:textId="10E2D6EA" w:rsidR="00BC6421" w:rsidRPr="00B3381F" w:rsidRDefault="00BC6421" w:rsidP="002E2D27">
            <w:pPr>
              <w:spacing w:line="256" w:lineRule="auto"/>
              <w:ind w:left="113" w:right="113"/>
              <w:rPr>
                <w:rFonts w:ascii="Calibri" w:eastAsia="Calibri" w:hAnsi="Calibri" w:cs="Arial"/>
                <w:b/>
                <w:bCs/>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31</w:t>
            </w:r>
          </w:p>
        </w:tc>
        <w:tc>
          <w:tcPr>
            <w:tcW w:w="397" w:type="dxa"/>
            <w:shd w:val="clear" w:color="auto" w:fill="D9D9D9" w:themeFill="background1" w:themeFillShade="D9"/>
            <w:textDirection w:val="btLr"/>
          </w:tcPr>
          <w:p w14:paraId="766247A1" w14:textId="769B415D" w:rsidR="00BC6421" w:rsidRPr="00B3381F" w:rsidRDefault="00BC6421" w:rsidP="002E2D27">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32</w:t>
            </w:r>
          </w:p>
        </w:tc>
        <w:tc>
          <w:tcPr>
            <w:tcW w:w="397" w:type="dxa"/>
            <w:shd w:val="clear" w:color="auto" w:fill="D9D9D9" w:themeFill="background1" w:themeFillShade="D9"/>
            <w:textDirection w:val="btLr"/>
          </w:tcPr>
          <w:p w14:paraId="3362DDFB" w14:textId="5D2F8345" w:rsidR="00BC6421" w:rsidRPr="00B3381F" w:rsidRDefault="00BC6421" w:rsidP="002E2D27">
            <w:pPr>
              <w:spacing w:line="256" w:lineRule="auto"/>
              <w:ind w:left="113" w:right="113"/>
              <w:rPr>
                <w:rFonts w:ascii="Calibri" w:eastAsia="Calibri" w:hAnsi="Calibri" w:cs="Arial"/>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33</w:t>
            </w:r>
          </w:p>
        </w:tc>
        <w:tc>
          <w:tcPr>
            <w:tcW w:w="397" w:type="dxa"/>
            <w:shd w:val="clear" w:color="auto" w:fill="D9D9D9" w:themeFill="background1" w:themeFillShade="D9"/>
            <w:textDirection w:val="btLr"/>
          </w:tcPr>
          <w:p w14:paraId="72EAAEA3" w14:textId="5E67DBF7" w:rsidR="00BC6421" w:rsidRPr="00B3381F" w:rsidRDefault="00BC6421" w:rsidP="002E2D27">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34</w:t>
            </w:r>
          </w:p>
        </w:tc>
        <w:tc>
          <w:tcPr>
            <w:tcW w:w="397" w:type="dxa"/>
            <w:shd w:val="clear" w:color="auto" w:fill="D9D9D9" w:themeFill="background1" w:themeFillShade="D9"/>
            <w:textDirection w:val="btLr"/>
          </w:tcPr>
          <w:p w14:paraId="303A95DB" w14:textId="14C0C049" w:rsidR="00BC6421" w:rsidRPr="00B3381F" w:rsidRDefault="00BC6421" w:rsidP="002E2D27">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35</w:t>
            </w:r>
          </w:p>
        </w:tc>
        <w:tc>
          <w:tcPr>
            <w:tcW w:w="397" w:type="dxa"/>
            <w:shd w:val="clear" w:color="auto" w:fill="D9D9D9" w:themeFill="background1" w:themeFillShade="D9"/>
            <w:textDirection w:val="btLr"/>
          </w:tcPr>
          <w:p w14:paraId="5293C91A" w14:textId="4F738F67" w:rsidR="00BC6421" w:rsidRPr="00B3381F" w:rsidRDefault="00BC6421" w:rsidP="002E2D27">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36</w:t>
            </w:r>
          </w:p>
        </w:tc>
        <w:tc>
          <w:tcPr>
            <w:tcW w:w="397" w:type="dxa"/>
            <w:shd w:val="clear" w:color="auto" w:fill="D9D9D9" w:themeFill="background1" w:themeFillShade="D9"/>
            <w:textDirection w:val="btLr"/>
          </w:tcPr>
          <w:p w14:paraId="0A96BC6C" w14:textId="0936F086" w:rsidR="00BC6421" w:rsidRPr="00B3381F" w:rsidRDefault="00BC6421" w:rsidP="002E2D27">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37</w:t>
            </w:r>
          </w:p>
        </w:tc>
        <w:tc>
          <w:tcPr>
            <w:tcW w:w="397" w:type="dxa"/>
            <w:shd w:val="clear" w:color="auto" w:fill="D9D9D9" w:themeFill="background1" w:themeFillShade="D9"/>
            <w:textDirection w:val="btLr"/>
          </w:tcPr>
          <w:p w14:paraId="53C723C5" w14:textId="30F4F193" w:rsidR="00BC6421" w:rsidRPr="00B3381F" w:rsidRDefault="00BC6421" w:rsidP="002E2D27">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38</w:t>
            </w:r>
          </w:p>
        </w:tc>
        <w:tc>
          <w:tcPr>
            <w:tcW w:w="397" w:type="dxa"/>
            <w:shd w:val="clear" w:color="auto" w:fill="D9D9D9" w:themeFill="background1" w:themeFillShade="D9"/>
            <w:textDirection w:val="btLr"/>
          </w:tcPr>
          <w:p w14:paraId="19B420AC" w14:textId="34BD27DE" w:rsidR="00BC6421" w:rsidRPr="00B3381F" w:rsidRDefault="00BC6421" w:rsidP="002E2D27">
            <w:pPr>
              <w:spacing w:line="256" w:lineRule="auto"/>
              <w:ind w:left="113" w:right="113"/>
              <w:rPr>
                <w:rFonts w:ascii="Calibri" w:eastAsia="Calibri" w:hAnsi="Calibri"/>
                <w:b/>
                <w:color w:val="0D558B"/>
                <w:sz w:val="24"/>
                <w:szCs w:val="24"/>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39</w:t>
            </w:r>
          </w:p>
        </w:tc>
        <w:tc>
          <w:tcPr>
            <w:tcW w:w="397" w:type="dxa"/>
            <w:shd w:val="clear" w:color="auto" w:fill="D9D9D9" w:themeFill="background1" w:themeFillShade="D9"/>
            <w:textDirection w:val="btLr"/>
          </w:tcPr>
          <w:p w14:paraId="2E5633BD" w14:textId="7827CEA9" w:rsidR="00BC6421" w:rsidRPr="00B3381F" w:rsidRDefault="00BC6421" w:rsidP="002E2D27">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40</w:t>
            </w:r>
          </w:p>
        </w:tc>
        <w:tc>
          <w:tcPr>
            <w:tcW w:w="397" w:type="dxa"/>
            <w:shd w:val="clear" w:color="auto" w:fill="D9D9D9" w:themeFill="background1" w:themeFillShade="D9"/>
            <w:textDirection w:val="btLr"/>
          </w:tcPr>
          <w:p w14:paraId="3C0B978D" w14:textId="1329163C" w:rsidR="00BC6421" w:rsidRPr="00B3381F" w:rsidRDefault="00BC6421" w:rsidP="002E2D27">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41</w:t>
            </w:r>
          </w:p>
        </w:tc>
        <w:tc>
          <w:tcPr>
            <w:tcW w:w="397" w:type="dxa"/>
            <w:shd w:val="clear" w:color="auto" w:fill="D9D9D9" w:themeFill="background1" w:themeFillShade="D9"/>
            <w:textDirection w:val="btLr"/>
          </w:tcPr>
          <w:p w14:paraId="23C1D76A" w14:textId="74490767" w:rsidR="00BC6421" w:rsidRPr="00B3381F" w:rsidRDefault="00BC6421" w:rsidP="002E2D27">
            <w:pPr>
              <w:spacing w:line="256" w:lineRule="auto"/>
              <w:ind w:left="113" w:right="113"/>
              <w:rPr>
                <w:rFonts w:ascii="Calibri" w:eastAsia="Calibri" w:hAnsi="Calibri"/>
                <w:b/>
                <w:bCs/>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42</w:t>
            </w:r>
          </w:p>
        </w:tc>
        <w:tc>
          <w:tcPr>
            <w:tcW w:w="397" w:type="dxa"/>
            <w:shd w:val="clear" w:color="auto" w:fill="D9D9D9" w:themeFill="background1" w:themeFillShade="D9"/>
            <w:textDirection w:val="btLr"/>
          </w:tcPr>
          <w:p w14:paraId="5E71B328" w14:textId="19F67FA8" w:rsidR="00BC6421" w:rsidRPr="00B3381F" w:rsidRDefault="00BC6421" w:rsidP="002E2D27">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43</w:t>
            </w:r>
          </w:p>
        </w:tc>
        <w:tc>
          <w:tcPr>
            <w:tcW w:w="397" w:type="dxa"/>
            <w:shd w:val="clear" w:color="auto" w:fill="D9D9D9" w:themeFill="background1" w:themeFillShade="D9"/>
            <w:textDirection w:val="btLr"/>
          </w:tcPr>
          <w:p w14:paraId="4AF2E178" w14:textId="38B6E9A5" w:rsidR="00BC6421" w:rsidRPr="00B3381F" w:rsidRDefault="00BC6421" w:rsidP="002E2D27">
            <w:pPr>
              <w:spacing w:line="256" w:lineRule="auto"/>
              <w:ind w:left="113" w:right="113"/>
              <w:rPr>
                <w:rFonts w:ascii="Calibri" w:eastAsia="Calibri" w:hAnsi="Calibri"/>
                <w:b/>
                <w:color w:val="595959"/>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44</w:t>
            </w:r>
          </w:p>
        </w:tc>
        <w:tc>
          <w:tcPr>
            <w:tcW w:w="397" w:type="dxa"/>
            <w:shd w:val="clear" w:color="auto" w:fill="D9D9D9" w:themeFill="background1" w:themeFillShade="D9"/>
            <w:textDirection w:val="btLr"/>
          </w:tcPr>
          <w:p w14:paraId="62C08D90" w14:textId="7550764C" w:rsidR="00BC6421" w:rsidRPr="00B3381F" w:rsidRDefault="00BC6421" w:rsidP="002E2D27">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45</w:t>
            </w:r>
          </w:p>
        </w:tc>
        <w:tc>
          <w:tcPr>
            <w:tcW w:w="397" w:type="dxa"/>
            <w:shd w:val="clear" w:color="auto" w:fill="D9D9D9" w:themeFill="background1" w:themeFillShade="D9"/>
            <w:textDirection w:val="btLr"/>
          </w:tcPr>
          <w:p w14:paraId="1003A668" w14:textId="1F01BA84" w:rsidR="00BC6421" w:rsidRPr="00B3381F" w:rsidRDefault="00BC6421" w:rsidP="002E2D27">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46</w:t>
            </w:r>
          </w:p>
        </w:tc>
        <w:tc>
          <w:tcPr>
            <w:tcW w:w="397" w:type="dxa"/>
            <w:shd w:val="clear" w:color="auto" w:fill="D9D9D9" w:themeFill="background1" w:themeFillShade="D9"/>
            <w:textDirection w:val="btLr"/>
          </w:tcPr>
          <w:p w14:paraId="77139621" w14:textId="2F7C883E" w:rsidR="00BC6421" w:rsidRPr="00B3381F" w:rsidRDefault="00BC6421" w:rsidP="002E2D27">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47</w:t>
            </w:r>
          </w:p>
        </w:tc>
        <w:tc>
          <w:tcPr>
            <w:tcW w:w="397" w:type="dxa"/>
            <w:shd w:val="clear" w:color="auto" w:fill="D9D9D9" w:themeFill="background1" w:themeFillShade="D9"/>
            <w:textDirection w:val="btLr"/>
          </w:tcPr>
          <w:p w14:paraId="45737297" w14:textId="6B340E65" w:rsidR="00BC6421" w:rsidRPr="00B3381F" w:rsidRDefault="00BC6421" w:rsidP="002E2D27">
            <w:pPr>
              <w:spacing w:line="259" w:lineRule="auto"/>
              <w:ind w:left="113" w:right="113"/>
              <w:rPr>
                <w:rFonts w:ascii="Calibri" w:eastAsia="Calibri" w:hAnsi="Calibri"/>
                <w:sz w:val="22"/>
                <w:lang w:eastAsia="en-US"/>
              </w:rPr>
            </w:pPr>
            <w:r w:rsidRPr="00FC4F19">
              <w:rPr>
                <w:rFonts w:ascii="Calibri" w:eastAsia="Calibri" w:hAnsi="Calibri" w:cs="Arial"/>
                <w:b/>
                <w:color w:val="0D558B"/>
                <w:sz w:val="24"/>
                <w:szCs w:val="24"/>
                <w:lang w:eastAsia="en-US"/>
              </w:rPr>
              <w:t>CLO</w:t>
            </w:r>
            <w:r>
              <w:rPr>
                <w:rFonts w:ascii="Calibri" w:eastAsia="Calibri" w:hAnsi="Calibri" w:cs="Arial"/>
                <w:b/>
                <w:color w:val="0D558B"/>
                <w:sz w:val="24"/>
                <w:szCs w:val="24"/>
                <w:lang w:eastAsia="en-US"/>
              </w:rPr>
              <w:t>48</w:t>
            </w:r>
          </w:p>
        </w:tc>
        <w:tc>
          <w:tcPr>
            <w:tcW w:w="397" w:type="dxa"/>
            <w:shd w:val="clear" w:color="auto" w:fill="D9D9D9" w:themeFill="background1" w:themeFillShade="D9"/>
            <w:textDirection w:val="btLr"/>
          </w:tcPr>
          <w:p w14:paraId="78FFD568" w14:textId="0E0ADC08" w:rsidR="00BC6421" w:rsidRPr="00B3381F" w:rsidRDefault="00BC6421" w:rsidP="002E2D27">
            <w:pPr>
              <w:spacing w:line="259" w:lineRule="auto"/>
              <w:ind w:left="113" w:right="113"/>
              <w:rPr>
                <w:rFonts w:ascii="Calibri" w:eastAsia="Calibri" w:hAnsi="Calibri"/>
                <w:sz w:val="22"/>
                <w:lang w:eastAsia="en-US"/>
              </w:rPr>
            </w:pPr>
          </w:p>
        </w:tc>
        <w:tc>
          <w:tcPr>
            <w:tcW w:w="397" w:type="dxa"/>
            <w:shd w:val="clear" w:color="auto" w:fill="D9D9D9" w:themeFill="background1" w:themeFillShade="D9"/>
            <w:textDirection w:val="btLr"/>
          </w:tcPr>
          <w:p w14:paraId="09AAECB9" w14:textId="57C795D8" w:rsidR="00BC6421" w:rsidRPr="00B3381F" w:rsidRDefault="00BC6421" w:rsidP="002E2D27">
            <w:pPr>
              <w:spacing w:line="259" w:lineRule="auto"/>
              <w:ind w:left="113" w:right="113"/>
              <w:rPr>
                <w:rFonts w:ascii="Calibri" w:eastAsia="Calibri" w:hAnsi="Calibri"/>
                <w:sz w:val="22"/>
                <w:lang w:eastAsia="en-US"/>
              </w:rPr>
            </w:pPr>
          </w:p>
        </w:tc>
        <w:tc>
          <w:tcPr>
            <w:tcW w:w="397" w:type="dxa"/>
            <w:shd w:val="clear" w:color="auto" w:fill="D9D9D9" w:themeFill="background1" w:themeFillShade="D9"/>
            <w:textDirection w:val="btLr"/>
          </w:tcPr>
          <w:p w14:paraId="7D482515" w14:textId="2D029980" w:rsidR="00BC6421" w:rsidRPr="00B3381F" w:rsidRDefault="00BC6421" w:rsidP="002E2D27">
            <w:pPr>
              <w:spacing w:line="259" w:lineRule="auto"/>
              <w:ind w:left="113" w:right="113"/>
              <w:rPr>
                <w:rFonts w:ascii="Calibri" w:eastAsia="Calibri" w:hAnsi="Calibri"/>
                <w:sz w:val="22"/>
                <w:lang w:eastAsia="en-US"/>
              </w:rPr>
            </w:pPr>
          </w:p>
        </w:tc>
        <w:tc>
          <w:tcPr>
            <w:tcW w:w="397" w:type="dxa"/>
            <w:shd w:val="clear" w:color="auto" w:fill="D9D9D9" w:themeFill="background1" w:themeFillShade="D9"/>
            <w:textDirection w:val="btLr"/>
          </w:tcPr>
          <w:p w14:paraId="53C39974" w14:textId="51A7CA24" w:rsidR="00BC6421" w:rsidRPr="00B3381F" w:rsidRDefault="00BC6421" w:rsidP="002E2D27">
            <w:pPr>
              <w:spacing w:line="259" w:lineRule="auto"/>
              <w:ind w:left="113" w:right="113"/>
              <w:rPr>
                <w:rFonts w:ascii="Calibri" w:eastAsia="Calibri" w:hAnsi="Calibri"/>
                <w:sz w:val="22"/>
                <w:lang w:eastAsia="en-US"/>
              </w:rPr>
            </w:pPr>
          </w:p>
        </w:tc>
      </w:tr>
      <w:tr w:rsidR="00BC6421" w:rsidRPr="00B3381F" w14:paraId="153771AD" w14:textId="77777777" w:rsidTr="002E2D27">
        <w:trPr>
          <w:gridAfter w:val="1"/>
          <w:wAfter w:w="56" w:type="dxa"/>
        </w:trPr>
        <w:tc>
          <w:tcPr>
            <w:tcW w:w="4025" w:type="dxa"/>
            <w:shd w:val="clear" w:color="auto" w:fill="0D558B"/>
          </w:tcPr>
          <w:p w14:paraId="46527507" w14:textId="77777777" w:rsidR="00BC6421" w:rsidRPr="00B3381F" w:rsidRDefault="00BC6421" w:rsidP="002E2D27">
            <w:pPr>
              <w:spacing w:line="256" w:lineRule="auto"/>
              <w:rPr>
                <w:rFonts w:ascii="Calibri" w:eastAsia="Calibri" w:hAnsi="Calibri"/>
                <w:sz w:val="22"/>
                <w:lang w:eastAsia="en-US"/>
              </w:rPr>
            </w:pPr>
            <w:proofErr w:type="spellStart"/>
            <w:r w:rsidRPr="00B3381F">
              <w:rPr>
                <w:rFonts w:ascii="Calibri" w:eastAsia="Calibri" w:hAnsi="Calibri"/>
                <w:color w:val="FFFFFF" w:themeColor="background1"/>
                <w:sz w:val="22"/>
                <w:lang w:eastAsia="en-US"/>
              </w:rPr>
              <w:t>i</w:t>
            </w:r>
            <w:proofErr w:type="spellEnd"/>
            <w:r w:rsidRPr="00B3381F">
              <w:rPr>
                <w:rFonts w:ascii="Calibri" w:eastAsia="Calibri" w:hAnsi="Calibri"/>
                <w:color w:val="FFFFFF" w:themeColor="background1"/>
                <w:sz w:val="22"/>
                <w:lang w:eastAsia="en-US"/>
              </w:rPr>
              <w:t xml:space="preserve"> critically appraise dilemmas and complex ethics to devise responses informed by the professional value base and ethical principles of youth and community work</w:t>
            </w:r>
          </w:p>
        </w:tc>
        <w:tc>
          <w:tcPr>
            <w:tcW w:w="370" w:type="dxa"/>
            <w:vAlign w:val="center"/>
          </w:tcPr>
          <w:p w14:paraId="646060A3" w14:textId="77777777" w:rsidR="00BC6421" w:rsidRPr="00B3381F" w:rsidRDefault="00BC6421" w:rsidP="002E2D27">
            <w:pPr>
              <w:spacing w:line="256" w:lineRule="auto"/>
              <w:rPr>
                <w:rFonts w:ascii="Calibri" w:eastAsia="Calibri" w:hAnsi="Calibri" w:cs="Arial"/>
                <w:sz w:val="24"/>
                <w:szCs w:val="24"/>
                <w:lang w:eastAsia="en-US"/>
              </w:rPr>
            </w:pPr>
          </w:p>
        </w:tc>
        <w:tc>
          <w:tcPr>
            <w:tcW w:w="338" w:type="dxa"/>
            <w:shd w:val="clear" w:color="auto" w:fill="auto"/>
            <w:vAlign w:val="center"/>
          </w:tcPr>
          <w:p w14:paraId="606837E9"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1935D8AA"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41C59E44"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55556C7F"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49301D27"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55DB32EA"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553D1B5D"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244FAF41"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20031CBE"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32726D7B"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6ADED3F5"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01765AC3"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3484AEF3"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61387E63"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4F5586B3"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1F1D6462" w14:textId="77777777" w:rsidR="00BC6421" w:rsidRPr="00B3381F" w:rsidRDefault="00BC6421" w:rsidP="002E2D27">
            <w:pPr>
              <w:spacing w:line="256" w:lineRule="auto"/>
              <w:rPr>
                <w:rFonts w:ascii="Calibri" w:eastAsia="Calibri" w:hAnsi="Calibri"/>
                <w:sz w:val="22"/>
                <w:lang w:eastAsia="en-US"/>
              </w:rPr>
            </w:pPr>
          </w:p>
        </w:tc>
        <w:tc>
          <w:tcPr>
            <w:tcW w:w="397" w:type="dxa"/>
            <w:vAlign w:val="center"/>
          </w:tcPr>
          <w:p w14:paraId="45A0D7E5" w14:textId="77777777" w:rsidR="00BC6421" w:rsidRPr="00B3381F" w:rsidRDefault="00BC6421" w:rsidP="002E2D27">
            <w:pPr>
              <w:spacing w:line="256" w:lineRule="auto"/>
              <w:jc w:val="center"/>
              <w:rPr>
                <w:rFonts w:ascii="Calibri" w:eastAsia="Calibri" w:hAnsi="Calibri"/>
                <w:sz w:val="22"/>
                <w:lang w:eastAsia="en-US"/>
              </w:rPr>
            </w:pPr>
          </w:p>
        </w:tc>
        <w:tc>
          <w:tcPr>
            <w:tcW w:w="397" w:type="dxa"/>
            <w:vAlign w:val="center"/>
          </w:tcPr>
          <w:p w14:paraId="4687534B"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50933BB0"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3B65A7CE"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45E34DA5"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3C269B8B"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3029ECDA"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53703A5D"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137BF374" w14:textId="77777777" w:rsidR="00BC6421" w:rsidRPr="00B3381F" w:rsidRDefault="00BC6421" w:rsidP="002E2D27">
            <w:pPr>
              <w:spacing w:line="259" w:lineRule="auto"/>
              <w:rPr>
                <w:rFonts w:ascii="Calibri" w:eastAsia="Calibri" w:hAnsi="Calibri"/>
                <w:sz w:val="22"/>
                <w:lang w:eastAsia="en-US"/>
              </w:rPr>
            </w:pPr>
          </w:p>
        </w:tc>
      </w:tr>
      <w:tr w:rsidR="00BC6421" w:rsidRPr="00B3381F" w14:paraId="693C1753" w14:textId="77777777" w:rsidTr="002E2D27">
        <w:trPr>
          <w:gridAfter w:val="1"/>
          <w:wAfter w:w="56" w:type="dxa"/>
        </w:trPr>
        <w:tc>
          <w:tcPr>
            <w:tcW w:w="4025" w:type="dxa"/>
            <w:shd w:val="clear" w:color="auto" w:fill="0D558B"/>
          </w:tcPr>
          <w:p w14:paraId="0B10A6BC" w14:textId="77777777" w:rsidR="00BC6421" w:rsidRPr="00B3381F" w:rsidRDefault="00BC6421" w:rsidP="002E2D27">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ii analyse youth and community work practice within a comparative context using theory and evidence from a range of local, regional, national and international sources</w:t>
            </w:r>
          </w:p>
        </w:tc>
        <w:tc>
          <w:tcPr>
            <w:tcW w:w="370" w:type="dxa"/>
            <w:vAlign w:val="center"/>
          </w:tcPr>
          <w:p w14:paraId="18D92635" w14:textId="77777777" w:rsidR="00BC6421" w:rsidRPr="00B3381F" w:rsidRDefault="00BC6421" w:rsidP="002E2D27">
            <w:pPr>
              <w:spacing w:line="256" w:lineRule="auto"/>
              <w:rPr>
                <w:rFonts w:ascii="Wingdings 2" w:eastAsia="Calibri" w:hAnsi="Wingdings 2" w:cs="Arial"/>
                <w:b/>
                <w:sz w:val="28"/>
                <w:szCs w:val="28"/>
                <w:lang w:eastAsia="en-US"/>
              </w:rPr>
            </w:pPr>
          </w:p>
        </w:tc>
        <w:tc>
          <w:tcPr>
            <w:tcW w:w="338" w:type="dxa"/>
            <w:shd w:val="clear" w:color="auto" w:fill="auto"/>
            <w:vAlign w:val="center"/>
          </w:tcPr>
          <w:p w14:paraId="5D9B83A9"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3216E461"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33442BFD"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59585F14"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2E4457C3"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0EE790FC"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64B1CF6A"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146EF45F"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7FA19256"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7477E56D"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36A96DED"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1CEAE328"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7A194900"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37126C2D"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58CCD8D5"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45A73F17" w14:textId="77777777" w:rsidR="00BC6421" w:rsidRPr="00B3381F" w:rsidRDefault="00BC6421" w:rsidP="002E2D27">
            <w:pPr>
              <w:spacing w:line="256" w:lineRule="auto"/>
              <w:rPr>
                <w:rFonts w:ascii="Calibri" w:eastAsia="Calibri" w:hAnsi="Calibri"/>
                <w:sz w:val="22"/>
                <w:lang w:eastAsia="en-US"/>
              </w:rPr>
            </w:pPr>
          </w:p>
        </w:tc>
        <w:tc>
          <w:tcPr>
            <w:tcW w:w="397" w:type="dxa"/>
            <w:vAlign w:val="center"/>
          </w:tcPr>
          <w:p w14:paraId="3C2C3BC8" w14:textId="77777777" w:rsidR="00BC6421" w:rsidRPr="00B3381F" w:rsidRDefault="00BC6421" w:rsidP="002E2D27">
            <w:pPr>
              <w:spacing w:line="256" w:lineRule="auto"/>
              <w:jc w:val="center"/>
              <w:rPr>
                <w:rFonts w:ascii="Calibri" w:eastAsia="Calibri" w:hAnsi="Calibri"/>
                <w:sz w:val="22"/>
                <w:lang w:eastAsia="en-US"/>
              </w:rPr>
            </w:pPr>
          </w:p>
        </w:tc>
        <w:tc>
          <w:tcPr>
            <w:tcW w:w="397" w:type="dxa"/>
            <w:vAlign w:val="center"/>
          </w:tcPr>
          <w:p w14:paraId="07FE4D1D"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41E102C3"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7033D9A4"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10314A83"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4E0446A6"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15173DF3"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37B05F7B"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044BC11D" w14:textId="77777777" w:rsidR="00BC6421" w:rsidRPr="00B3381F" w:rsidRDefault="00BC6421" w:rsidP="002E2D27">
            <w:pPr>
              <w:spacing w:line="259" w:lineRule="auto"/>
              <w:rPr>
                <w:rFonts w:ascii="Calibri" w:eastAsia="Calibri" w:hAnsi="Calibri"/>
                <w:sz w:val="22"/>
                <w:lang w:eastAsia="en-US"/>
              </w:rPr>
            </w:pPr>
          </w:p>
        </w:tc>
      </w:tr>
      <w:tr w:rsidR="00BC6421" w:rsidRPr="00B3381F" w14:paraId="1F9F8C23" w14:textId="77777777" w:rsidTr="002E2D27">
        <w:trPr>
          <w:gridAfter w:val="1"/>
          <w:wAfter w:w="56" w:type="dxa"/>
        </w:trPr>
        <w:tc>
          <w:tcPr>
            <w:tcW w:w="4025" w:type="dxa"/>
            <w:shd w:val="clear" w:color="auto" w:fill="0D558B"/>
          </w:tcPr>
          <w:p w14:paraId="4157C848" w14:textId="77777777" w:rsidR="00BC6421" w:rsidRPr="00B3381F" w:rsidRDefault="00BC6421" w:rsidP="002E2D27">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iii investigate their own youth and community work practice using reflective practice and research methods and propose alternative future action</w:t>
            </w:r>
          </w:p>
        </w:tc>
        <w:tc>
          <w:tcPr>
            <w:tcW w:w="370" w:type="dxa"/>
            <w:vAlign w:val="center"/>
          </w:tcPr>
          <w:p w14:paraId="5FAB5908" w14:textId="77777777" w:rsidR="00BC6421" w:rsidRPr="00B3381F" w:rsidRDefault="00BC6421" w:rsidP="002E2D27">
            <w:pPr>
              <w:spacing w:line="256" w:lineRule="auto"/>
              <w:rPr>
                <w:rFonts w:ascii="Calibri" w:eastAsia="Calibri" w:hAnsi="Calibri" w:cs="Arial"/>
                <w:sz w:val="24"/>
                <w:szCs w:val="24"/>
                <w:lang w:eastAsia="en-US"/>
              </w:rPr>
            </w:pPr>
          </w:p>
        </w:tc>
        <w:tc>
          <w:tcPr>
            <w:tcW w:w="338" w:type="dxa"/>
            <w:shd w:val="clear" w:color="auto" w:fill="auto"/>
            <w:vAlign w:val="center"/>
          </w:tcPr>
          <w:p w14:paraId="4B8370CE"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0C8B7411"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5CF072DC"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0F735517"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56940DCC"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08E23F07"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shd w:val="clear" w:color="auto" w:fill="auto"/>
            <w:vAlign w:val="center"/>
          </w:tcPr>
          <w:p w14:paraId="6A98A2F1"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7CAFE89D"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037BD2EA"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4057027F"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65079169"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6E6249B9"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4BB34394"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37346AE5"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70F59CC5" w14:textId="77777777" w:rsidR="00BC6421" w:rsidRPr="00B3381F" w:rsidRDefault="00BC6421" w:rsidP="002E2D27">
            <w:pPr>
              <w:spacing w:line="256" w:lineRule="auto"/>
              <w:rPr>
                <w:rFonts w:ascii="Calibri" w:eastAsia="Calibri" w:hAnsi="Calibri"/>
                <w:sz w:val="22"/>
                <w:lang w:eastAsia="en-US"/>
              </w:rPr>
            </w:pPr>
          </w:p>
        </w:tc>
        <w:tc>
          <w:tcPr>
            <w:tcW w:w="397" w:type="dxa"/>
            <w:shd w:val="clear" w:color="auto" w:fill="auto"/>
            <w:vAlign w:val="center"/>
          </w:tcPr>
          <w:p w14:paraId="198C19A5" w14:textId="77777777" w:rsidR="00BC6421" w:rsidRPr="00B3381F" w:rsidRDefault="00BC6421" w:rsidP="002E2D27">
            <w:pPr>
              <w:spacing w:line="256" w:lineRule="auto"/>
              <w:rPr>
                <w:rFonts w:ascii="Calibri" w:eastAsia="Calibri" w:hAnsi="Calibri"/>
                <w:sz w:val="22"/>
                <w:lang w:eastAsia="en-US"/>
              </w:rPr>
            </w:pPr>
          </w:p>
        </w:tc>
        <w:tc>
          <w:tcPr>
            <w:tcW w:w="397" w:type="dxa"/>
            <w:vAlign w:val="center"/>
          </w:tcPr>
          <w:p w14:paraId="2EC08DF5" w14:textId="77777777" w:rsidR="00BC6421" w:rsidRPr="00B3381F" w:rsidRDefault="00BC6421" w:rsidP="002E2D27">
            <w:pPr>
              <w:spacing w:line="256" w:lineRule="auto"/>
              <w:jc w:val="center"/>
              <w:rPr>
                <w:rFonts w:ascii="Calibri" w:eastAsia="Calibri" w:hAnsi="Calibri"/>
                <w:sz w:val="22"/>
                <w:lang w:eastAsia="en-US"/>
              </w:rPr>
            </w:pPr>
          </w:p>
        </w:tc>
        <w:tc>
          <w:tcPr>
            <w:tcW w:w="397" w:type="dxa"/>
            <w:vAlign w:val="center"/>
          </w:tcPr>
          <w:p w14:paraId="2C12C0A1"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6674A50C"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23EC9EEB"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479963E1"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629985A7"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36A94C7B"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17E7EB58" w14:textId="77777777" w:rsidR="00BC6421" w:rsidRPr="00B3381F" w:rsidRDefault="00BC6421" w:rsidP="002E2D27">
            <w:pPr>
              <w:spacing w:line="259" w:lineRule="auto"/>
              <w:rPr>
                <w:rFonts w:ascii="Calibri" w:eastAsia="Calibri" w:hAnsi="Calibri"/>
                <w:sz w:val="22"/>
                <w:lang w:eastAsia="en-US"/>
              </w:rPr>
            </w:pPr>
          </w:p>
        </w:tc>
        <w:tc>
          <w:tcPr>
            <w:tcW w:w="397" w:type="dxa"/>
            <w:vAlign w:val="center"/>
          </w:tcPr>
          <w:p w14:paraId="373C4E95" w14:textId="77777777" w:rsidR="00BC6421" w:rsidRPr="00B3381F" w:rsidRDefault="00BC6421" w:rsidP="002E2D27">
            <w:pPr>
              <w:spacing w:line="259" w:lineRule="auto"/>
              <w:rPr>
                <w:rFonts w:ascii="Calibri" w:eastAsia="Calibri" w:hAnsi="Calibri"/>
                <w:sz w:val="22"/>
                <w:lang w:eastAsia="en-US"/>
              </w:rPr>
            </w:pPr>
          </w:p>
        </w:tc>
      </w:tr>
      <w:tr w:rsidR="00BC6421" w:rsidRPr="00B3381F" w14:paraId="7CBE736E" w14:textId="77777777" w:rsidTr="002E2D27">
        <w:trPr>
          <w:gridAfter w:val="1"/>
          <w:wAfter w:w="56" w:type="dxa"/>
        </w:trPr>
        <w:tc>
          <w:tcPr>
            <w:tcW w:w="4025" w:type="dxa"/>
            <w:shd w:val="clear" w:color="auto" w:fill="2F5496" w:themeFill="accent1" w:themeFillShade="BF"/>
          </w:tcPr>
          <w:p w14:paraId="46CFE4AB" w14:textId="77777777" w:rsidR="00BC6421" w:rsidRPr="00B3381F" w:rsidRDefault="00BC6421" w:rsidP="002E2D27">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iv appraise social theory and social policy discourses and distinguish clearly between normative and empirical arguments and assess their impact on young people and communities</w:t>
            </w:r>
          </w:p>
        </w:tc>
        <w:tc>
          <w:tcPr>
            <w:tcW w:w="370" w:type="dxa"/>
          </w:tcPr>
          <w:p w14:paraId="308458AD" w14:textId="77777777" w:rsidR="00BC6421" w:rsidRPr="00B3381F" w:rsidRDefault="00BC6421" w:rsidP="002E2D27">
            <w:pPr>
              <w:spacing w:line="256" w:lineRule="auto"/>
              <w:rPr>
                <w:rFonts w:ascii="Calibri" w:eastAsia="Calibri" w:hAnsi="Calibri" w:cs="Arial"/>
                <w:sz w:val="24"/>
                <w:szCs w:val="24"/>
                <w:lang w:eastAsia="en-US"/>
              </w:rPr>
            </w:pPr>
          </w:p>
        </w:tc>
        <w:tc>
          <w:tcPr>
            <w:tcW w:w="338" w:type="dxa"/>
          </w:tcPr>
          <w:p w14:paraId="604AB58B"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2D238763"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470DBE66"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754E3C4C"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556C295E"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317BDB6F"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779DF475" w14:textId="77777777" w:rsidR="00BC6421" w:rsidRPr="00B3381F" w:rsidRDefault="00BC6421" w:rsidP="002E2D27">
            <w:pPr>
              <w:spacing w:line="256" w:lineRule="auto"/>
              <w:rPr>
                <w:rFonts w:ascii="Calibri" w:eastAsia="Calibri" w:hAnsi="Calibri"/>
                <w:sz w:val="22"/>
                <w:lang w:eastAsia="en-US"/>
              </w:rPr>
            </w:pPr>
          </w:p>
        </w:tc>
        <w:tc>
          <w:tcPr>
            <w:tcW w:w="397" w:type="dxa"/>
          </w:tcPr>
          <w:p w14:paraId="01B8231F"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027FE0F" w14:textId="77777777" w:rsidR="00BC6421" w:rsidRPr="00B3381F" w:rsidRDefault="00BC6421" w:rsidP="002E2D27">
            <w:pPr>
              <w:spacing w:line="256" w:lineRule="auto"/>
              <w:rPr>
                <w:rFonts w:ascii="Calibri" w:eastAsia="Calibri" w:hAnsi="Calibri"/>
                <w:sz w:val="22"/>
                <w:lang w:eastAsia="en-US"/>
              </w:rPr>
            </w:pPr>
          </w:p>
        </w:tc>
        <w:tc>
          <w:tcPr>
            <w:tcW w:w="397" w:type="dxa"/>
          </w:tcPr>
          <w:p w14:paraId="694A35DA"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F00EA13" w14:textId="77777777" w:rsidR="00BC6421" w:rsidRPr="00B3381F" w:rsidRDefault="00BC6421" w:rsidP="002E2D27">
            <w:pPr>
              <w:spacing w:line="256" w:lineRule="auto"/>
              <w:rPr>
                <w:rFonts w:ascii="Calibri" w:eastAsia="Calibri" w:hAnsi="Calibri"/>
                <w:sz w:val="22"/>
                <w:lang w:eastAsia="en-US"/>
              </w:rPr>
            </w:pPr>
          </w:p>
        </w:tc>
        <w:tc>
          <w:tcPr>
            <w:tcW w:w="397" w:type="dxa"/>
          </w:tcPr>
          <w:p w14:paraId="4120BABC"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FA8A45A" w14:textId="77777777" w:rsidR="00BC6421" w:rsidRPr="00B3381F" w:rsidRDefault="00BC6421" w:rsidP="002E2D27">
            <w:pPr>
              <w:spacing w:line="256" w:lineRule="auto"/>
              <w:rPr>
                <w:rFonts w:ascii="Calibri" w:eastAsia="Calibri" w:hAnsi="Calibri"/>
                <w:sz w:val="22"/>
                <w:lang w:eastAsia="en-US"/>
              </w:rPr>
            </w:pPr>
          </w:p>
        </w:tc>
        <w:tc>
          <w:tcPr>
            <w:tcW w:w="397" w:type="dxa"/>
          </w:tcPr>
          <w:p w14:paraId="23B5D34F"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1784389" w14:textId="77777777" w:rsidR="00BC6421" w:rsidRPr="00B3381F" w:rsidRDefault="00BC6421" w:rsidP="002E2D27">
            <w:pPr>
              <w:spacing w:line="256" w:lineRule="auto"/>
              <w:rPr>
                <w:rFonts w:ascii="Calibri" w:eastAsia="Calibri" w:hAnsi="Calibri"/>
                <w:sz w:val="22"/>
                <w:lang w:eastAsia="en-US"/>
              </w:rPr>
            </w:pPr>
          </w:p>
        </w:tc>
        <w:tc>
          <w:tcPr>
            <w:tcW w:w="397" w:type="dxa"/>
          </w:tcPr>
          <w:p w14:paraId="4DC39D56" w14:textId="77777777" w:rsidR="00BC6421" w:rsidRPr="00B3381F" w:rsidRDefault="00BC6421" w:rsidP="002E2D27">
            <w:pPr>
              <w:spacing w:line="256" w:lineRule="auto"/>
              <w:rPr>
                <w:rFonts w:ascii="Calibri" w:eastAsia="Calibri" w:hAnsi="Calibri"/>
                <w:sz w:val="22"/>
                <w:lang w:eastAsia="en-US"/>
              </w:rPr>
            </w:pPr>
          </w:p>
        </w:tc>
        <w:tc>
          <w:tcPr>
            <w:tcW w:w="397" w:type="dxa"/>
          </w:tcPr>
          <w:p w14:paraId="6477B96B" w14:textId="77777777" w:rsidR="00BC6421" w:rsidRPr="00B3381F" w:rsidRDefault="00BC6421" w:rsidP="002E2D27">
            <w:pPr>
              <w:spacing w:line="256" w:lineRule="auto"/>
              <w:jc w:val="center"/>
              <w:rPr>
                <w:rFonts w:ascii="Calibri" w:eastAsia="Calibri" w:hAnsi="Calibri"/>
                <w:sz w:val="22"/>
                <w:lang w:eastAsia="en-US"/>
              </w:rPr>
            </w:pPr>
          </w:p>
        </w:tc>
        <w:tc>
          <w:tcPr>
            <w:tcW w:w="397" w:type="dxa"/>
          </w:tcPr>
          <w:p w14:paraId="60111B28" w14:textId="77777777" w:rsidR="00BC6421" w:rsidRPr="00B3381F" w:rsidRDefault="00BC6421" w:rsidP="002E2D27">
            <w:pPr>
              <w:spacing w:line="259" w:lineRule="auto"/>
              <w:rPr>
                <w:rFonts w:ascii="Calibri" w:eastAsia="Calibri" w:hAnsi="Calibri"/>
                <w:sz w:val="22"/>
                <w:lang w:eastAsia="en-US"/>
              </w:rPr>
            </w:pPr>
          </w:p>
        </w:tc>
        <w:tc>
          <w:tcPr>
            <w:tcW w:w="397" w:type="dxa"/>
          </w:tcPr>
          <w:p w14:paraId="0B4BACD8" w14:textId="77777777" w:rsidR="00BC6421" w:rsidRPr="00B3381F" w:rsidRDefault="00BC6421" w:rsidP="002E2D27">
            <w:pPr>
              <w:spacing w:line="259" w:lineRule="auto"/>
              <w:rPr>
                <w:rFonts w:ascii="Calibri" w:eastAsia="Calibri" w:hAnsi="Calibri"/>
                <w:sz w:val="22"/>
                <w:lang w:eastAsia="en-US"/>
              </w:rPr>
            </w:pPr>
          </w:p>
        </w:tc>
        <w:tc>
          <w:tcPr>
            <w:tcW w:w="397" w:type="dxa"/>
          </w:tcPr>
          <w:p w14:paraId="71328FBD" w14:textId="77777777" w:rsidR="00BC6421" w:rsidRPr="00B3381F" w:rsidRDefault="00BC6421" w:rsidP="002E2D27">
            <w:pPr>
              <w:spacing w:line="259" w:lineRule="auto"/>
              <w:rPr>
                <w:rFonts w:ascii="Calibri" w:eastAsia="Calibri" w:hAnsi="Calibri"/>
                <w:sz w:val="22"/>
                <w:lang w:eastAsia="en-US"/>
              </w:rPr>
            </w:pPr>
          </w:p>
        </w:tc>
        <w:tc>
          <w:tcPr>
            <w:tcW w:w="397" w:type="dxa"/>
          </w:tcPr>
          <w:p w14:paraId="3BC14B7C" w14:textId="77777777" w:rsidR="00BC6421" w:rsidRPr="00B3381F" w:rsidRDefault="00BC6421" w:rsidP="002E2D27">
            <w:pPr>
              <w:spacing w:line="259" w:lineRule="auto"/>
              <w:rPr>
                <w:rFonts w:ascii="Calibri" w:eastAsia="Calibri" w:hAnsi="Calibri"/>
                <w:sz w:val="22"/>
                <w:lang w:eastAsia="en-US"/>
              </w:rPr>
            </w:pPr>
          </w:p>
        </w:tc>
        <w:tc>
          <w:tcPr>
            <w:tcW w:w="397" w:type="dxa"/>
          </w:tcPr>
          <w:p w14:paraId="01799769" w14:textId="77777777" w:rsidR="00BC6421" w:rsidRPr="00B3381F" w:rsidRDefault="00BC6421" w:rsidP="002E2D27">
            <w:pPr>
              <w:spacing w:line="259" w:lineRule="auto"/>
              <w:rPr>
                <w:rFonts w:ascii="Calibri" w:eastAsia="Calibri" w:hAnsi="Calibri"/>
                <w:sz w:val="22"/>
                <w:lang w:eastAsia="en-US"/>
              </w:rPr>
            </w:pPr>
          </w:p>
        </w:tc>
        <w:tc>
          <w:tcPr>
            <w:tcW w:w="397" w:type="dxa"/>
          </w:tcPr>
          <w:p w14:paraId="30B255F0" w14:textId="77777777" w:rsidR="00BC6421" w:rsidRPr="00B3381F" w:rsidRDefault="00BC6421" w:rsidP="002E2D27">
            <w:pPr>
              <w:spacing w:line="259" w:lineRule="auto"/>
              <w:rPr>
                <w:rFonts w:ascii="Calibri" w:eastAsia="Calibri" w:hAnsi="Calibri"/>
                <w:sz w:val="22"/>
                <w:lang w:eastAsia="en-US"/>
              </w:rPr>
            </w:pPr>
          </w:p>
        </w:tc>
        <w:tc>
          <w:tcPr>
            <w:tcW w:w="397" w:type="dxa"/>
          </w:tcPr>
          <w:p w14:paraId="449793E8" w14:textId="77777777" w:rsidR="00BC6421" w:rsidRPr="00B3381F" w:rsidRDefault="00BC6421" w:rsidP="002E2D27">
            <w:pPr>
              <w:spacing w:line="259" w:lineRule="auto"/>
              <w:rPr>
                <w:rFonts w:ascii="Calibri" w:eastAsia="Calibri" w:hAnsi="Calibri"/>
                <w:sz w:val="22"/>
                <w:lang w:eastAsia="en-US"/>
              </w:rPr>
            </w:pPr>
          </w:p>
        </w:tc>
        <w:tc>
          <w:tcPr>
            <w:tcW w:w="397" w:type="dxa"/>
          </w:tcPr>
          <w:p w14:paraId="061207B6" w14:textId="77777777" w:rsidR="00BC6421" w:rsidRPr="00B3381F" w:rsidRDefault="00BC6421" w:rsidP="002E2D27">
            <w:pPr>
              <w:spacing w:line="259" w:lineRule="auto"/>
              <w:rPr>
                <w:rFonts w:ascii="Calibri" w:eastAsia="Calibri" w:hAnsi="Calibri"/>
                <w:sz w:val="22"/>
                <w:lang w:eastAsia="en-US"/>
              </w:rPr>
            </w:pPr>
          </w:p>
        </w:tc>
      </w:tr>
      <w:tr w:rsidR="00BC6421" w:rsidRPr="00B3381F" w14:paraId="14974AAC" w14:textId="77777777" w:rsidTr="002E2D27">
        <w:trPr>
          <w:gridAfter w:val="1"/>
          <w:wAfter w:w="56" w:type="dxa"/>
        </w:trPr>
        <w:tc>
          <w:tcPr>
            <w:tcW w:w="4025" w:type="dxa"/>
            <w:shd w:val="clear" w:color="auto" w:fill="2F5496" w:themeFill="accent1" w:themeFillShade="BF"/>
          </w:tcPr>
          <w:p w14:paraId="315F4A82" w14:textId="77777777" w:rsidR="00BC6421" w:rsidRPr="00B3381F" w:rsidRDefault="00BC6421" w:rsidP="002E2D27">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v analyse and critically evaluate competing perspectives, recognise contested concepts and inspect their impact on youth and community work</w:t>
            </w:r>
          </w:p>
        </w:tc>
        <w:tc>
          <w:tcPr>
            <w:tcW w:w="370" w:type="dxa"/>
          </w:tcPr>
          <w:p w14:paraId="2FBA2755" w14:textId="77777777" w:rsidR="00BC6421" w:rsidRPr="00B3381F" w:rsidRDefault="00BC6421" w:rsidP="002E2D27">
            <w:pPr>
              <w:spacing w:line="256" w:lineRule="auto"/>
              <w:rPr>
                <w:rFonts w:ascii="Calibri" w:eastAsia="Calibri" w:hAnsi="Calibri" w:cs="Arial"/>
                <w:sz w:val="24"/>
                <w:szCs w:val="24"/>
                <w:lang w:eastAsia="en-US"/>
              </w:rPr>
            </w:pPr>
          </w:p>
        </w:tc>
        <w:tc>
          <w:tcPr>
            <w:tcW w:w="338" w:type="dxa"/>
          </w:tcPr>
          <w:p w14:paraId="1383B402"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3E9D792F"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3A3ECC5A"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16326F17"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27DC8964"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528F9878"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69D916F2" w14:textId="77777777" w:rsidR="00BC6421" w:rsidRPr="00B3381F" w:rsidRDefault="00BC6421" w:rsidP="002E2D27">
            <w:pPr>
              <w:spacing w:line="256" w:lineRule="auto"/>
              <w:rPr>
                <w:rFonts w:ascii="Calibri" w:eastAsia="Calibri" w:hAnsi="Calibri"/>
                <w:sz w:val="22"/>
                <w:lang w:eastAsia="en-US"/>
              </w:rPr>
            </w:pPr>
          </w:p>
        </w:tc>
        <w:tc>
          <w:tcPr>
            <w:tcW w:w="397" w:type="dxa"/>
          </w:tcPr>
          <w:p w14:paraId="48523C92"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5EA9425" w14:textId="77777777" w:rsidR="00BC6421" w:rsidRPr="00B3381F" w:rsidRDefault="00BC6421" w:rsidP="002E2D27">
            <w:pPr>
              <w:spacing w:line="256" w:lineRule="auto"/>
              <w:rPr>
                <w:rFonts w:ascii="Calibri" w:eastAsia="Calibri" w:hAnsi="Calibri"/>
                <w:sz w:val="22"/>
                <w:lang w:eastAsia="en-US"/>
              </w:rPr>
            </w:pPr>
          </w:p>
        </w:tc>
        <w:tc>
          <w:tcPr>
            <w:tcW w:w="397" w:type="dxa"/>
          </w:tcPr>
          <w:p w14:paraId="63420085" w14:textId="77777777" w:rsidR="00BC6421" w:rsidRPr="00B3381F" w:rsidRDefault="00BC6421" w:rsidP="002E2D27">
            <w:pPr>
              <w:spacing w:line="256" w:lineRule="auto"/>
              <w:rPr>
                <w:rFonts w:ascii="Calibri" w:eastAsia="Calibri" w:hAnsi="Calibri"/>
                <w:sz w:val="22"/>
                <w:lang w:eastAsia="en-US"/>
              </w:rPr>
            </w:pPr>
          </w:p>
        </w:tc>
        <w:tc>
          <w:tcPr>
            <w:tcW w:w="397" w:type="dxa"/>
          </w:tcPr>
          <w:p w14:paraId="761AC72E" w14:textId="77777777" w:rsidR="00BC6421" w:rsidRPr="00B3381F" w:rsidRDefault="00BC6421" w:rsidP="002E2D27">
            <w:pPr>
              <w:spacing w:line="256" w:lineRule="auto"/>
              <w:rPr>
                <w:rFonts w:ascii="Calibri" w:eastAsia="Calibri" w:hAnsi="Calibri"/>
                <w:sz w:val="22"/>
                <w:lang w:eastAsia="en-US"/>
              </w:rPr>
            </w:pPr>
          </w:p>
        </w:tc>
        <w:tc>
          <w:tcPr>
            <w:tcW w:w="397" w:type="dxa"/>
          </w:tcPr>
          <w:p w14:paraId="7C5819E2"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AE5DBC6" w14:textId="77777777" w:rsidR="00BC6421" w:rsidRPr="00B3381F" w:rsidRDefault="00BC6421" w:rsidP="002E2D27">
            <w:pPr>
              <w:spacing w:line="256" w:lineRule="auto"/>
              <w:rPr>
                <w:rFonts w:ascii="Calibri" w:eastAsia="Calibri" w:hAnsi="Calibri"/>
                <w:sz w:val="22"/>
                <w:lang w:eastAsia="en-US"/>
              </w:rPr>
            </w:pPr>
          </w:p>
        </w:tc>
        <w:tc>
          <w:tcPr>
            <w:tcW w:w="397" w:type="dxa"/>
          </w:tcPr>
          <w:p w14:paraId="3F2D31B1" w14:textId="77777777" w:rsidR="00BC6421" w:rsidRPr="00B3381F" w:rsidRDefault="00BC6421" w:rsidP="002E2D27">
            <w:pPr>
              <w:spacing w:line="256" w:lineRule="auto"/>
              <w:rPr>
                <w:rFonts w:ascii="Calibri" w:eastAsia="Calibri" w:hAnsi="Calibri"/>
                <w:sz w:val="22"/>
                <w:lang w:eastAsia="en-US"/>
              </w:rPr>
            </w:pPr>
          </w:p>
        </w:tc>
        <w:tc>
          <w:tcPr>
            <w:tcW w:w="397" w:type="dxa"/>
          </w:tcPr>
          <w:p w14:paraId="43D82952"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6B5F658"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DB879B8" w14:textId="77777777" w:rsidR="00BC6421" w:rsidRPr="00B3381F" w:rsidRDefault="00BC6421" w:rsidP="002E2D27">
            <w:pPr>
              <w:spacing w:line="256" w:lineRule="auto"/>
              <w:rPr>
                <w:rFonts w:ascii="Calibri" w:eastAsia="Calibri" w:hAnsi="Calibri"/>
                <w:sz w:val="22"/>
                <w:lang w:eastAsia="en-US"/>
              </w:rPr>
            </w:pPr>
          </w:p>
        </w:tc>
        <w:tc>
          <w:tcPr>
            <w:tcW w:w="397" w:type="dxa"/>
          </w:tcPr>
          <w:p w14:paraId="492242F6" w14:textId="77777777" w:rsidR="00BC6421" w:rsidRPr="00B3381F" w:rsidRDefault="00BC6421" w:rsidP="002E2D27">
            <w:pPr>
              <w:spacing w:line="259" w:lineRule="auto"/>
              <w:rPr>
                <w:rFonts w:ascii="Calibri" w:eastAsia="Calibri" w:hAnsi="Calibri"/>
                <w:sz w:val="22"/>
                <w:lang w:eastAsia="en-US"/>
              </w:rPr>
            </w:pPr>
          </w:p>
        </w:tc>
        <w:tc>
          <w:tcPr>
            <w:tcW w:w="397" w:type="dxa"/>
          </w:tcPr>
          <w:p w14:paraId="426FBD45" w14:textId="77777777" w:rsidR="00BC6421" w:rsidRPr="00B3381F" w:rsidRDefault="00BC6421" w:rsidP="002E2D27">
            <w:pPr>
              <w:spacing w:line="259" w:lineRule="auto"/>
              <w:rPr>
                <w:rFonts w:ascii="Calibri" w:eastAsia="Calibri" w:hAnsi="Calibri"/>
                <w:sz w:val="22"/>
                <w:lang w:eastAsia="en-US"/>
              </w:rPr>
            </w:pPr>
          </w:p>
        </w:tc>
        <w:tc>
          <w:tcPr>
            <w:tcW w:w="397" w:type="dxa"/>
          </w:tcPr>
          <w:p w14:paraId="53BCDB1A" w14:textId="77777777" w:rsidR="00BC6421" w:rsidRPr="00B3381F" w:rsidRDefault="00BC6421" w:rsidP="002E2D27">
            <w:pPr>
              <w:spacing w:line="259" w:lineRule="auto"/>
              <w:rPr>
                <w:rFonts w:ascii="Calibri" w:eastAsia="Calibri" w:hAnsi="Calibri"/>
                <w:sz w:val="22"/>
                <w:lang w:eastAsia="en-US"/>
              </w:rPr>
            </w:pPr>
          </w:p>
        </w:tc>
        <w:tc>
          <w:tcPr>
            <w:tcW w:w="397" w:type="dxa"/>
          </w:tcPr>
          <w:p w14:paraId="0F2E68E3" w14:textId="77777777" w:rsidR="00BC6421" w:rsidRPr="00B3381F" w:rsidRDefault="00BC6421" w:rsidP="002E2D27">
            <w:pPr>
              <w:spacing w:line="259" w:lineRule="auto"/>
              <w:rPr>
                <w:rFonts w:ascii="Calibri" w:eastAsia="Calibri" w:hAnsi="Calibri"/>
                <w:sz w:val="22"/>
                <w:lang w:eastAsia="en-US"/>
              </w:rPr>
            </w:pPr>
          </w:p>
        </w:tc>
        <w:tc>
          <w:tcPr>
            <w:tcW w:w="397" w:type="dxa"/>
          </w:tcPr>
          <w:p w14:paraId="027A8A49" w14:textId="77777777" w:rsidR="00BC6421" w:rsidRPr="00B3381F" w:rsidRDefault="00BC6421" w:rsidP="002E2D27">
            <w:pPr>
              <w:spacing w:line="259" w:lineRule="auto"/>
              <w:rPr>
                <w:rFonts w:ascii="Calibri" w:eastAsia="Calibri" w:hAnsi="Calibri"/>
                <w:sz w:val="22"/>
                <w:lang w:eastAsia="en-US"/>
              </w:rPr>
            </w:pPr>
          </w:p>
        </w:tc>
        <w:tc>
          <w:tcPr>
            <w:tcW w:w="397" w:type="dxa"/>
          </w:tcPr>
          <w:p w14:paraId="3217C060" w14:textId="77777777" w:rsidR="00BC6421" w:rsidRPr="00B3381F" w:rsidRDefault="00BC6421" w:rsidP="002E2D27">
            <w:pPr>
              <w:spacing w:line="259" w:lineRule="auto"/>
              <w:rPr>
                <w:rFonts w:ascii="Calibri" w:eastAsia="Calibri" w:hAnsi="Calibri"/>
                <w:sz w:val="22"/>
                <w:lang w:eastAsia="en-US"/>
              </w:rPr>
            </w:pPr>
          </w:p>
        </w:tc>
        <w:tc>
          <w:tcPr>
            <w:tcW w:w="397" w:type="dxa"/>
          </w:tcPr>
          <w:p w14:paraId="543C0302" w14:textId="77777777" w:rsidR="00BC6421" w:rsidRPr="00B3381F" w:rsidRDefault="00BC6421" w:rsidP="002E2D27">
            <w:pPr>
              <w:spacing w:line="259" w:lineRule="auto"/>
              <w:rPr>
                <w:rFonts w:ascii="Calibri" w:eastAsia="Calibri" w:hAnsi="Calibri"/>
                <w:sz w:val="22"/>
                <w:lang w:eastAsia="en-US"/>
              </w:rPr>
            </w:pPr>
          </w:p>
        </w:tc>
        <w:tc>
          <w:tcPr>
            <w:tcW w:w="397" w:type="dxa"/>
          </w:tcPr>
          <w:p w14:paraId="1D4C564B" w14:textId="77777777" w:rsidR="00BC6421" w:rsidRPr="00B3381F" w:rsidRDefault="00BC6421" w:rsidP="002E2D27">
            <w:pPr>
              <w:spacing w:line="259" w:lineRule="auto"/>
              <w:rPr>
                <w:rFonts w:ascii="Calibri" w:eastAsia="Calibri" w:hAnsi="Calibri"/>
                <w:sz w:val="22"/>
                <w:lang w:eastAsia="en-US"/>
              </w:rPr>
            </w:pPr>
          </w:p>
        </w:tc>
      </w:tr>
      <w:tr w:rsidR="00BC6421" w:rsidRPr="00B3381F" w14:paraId="53564BB9" w14:textId="77777777" w:rsidTr="002E2D27">
        <w:trPr>
          <w:gridAfter w:val="1"/>
          <w:wAfter w:w="56" w:type="dxa"/>
        </w:trPr>
        <w:tc>
          <w:tcPr>
            <w:tcW w:w="4025" w:type="dxa"/>
            <w:shd w:val="clear" w:color="auto" w:fill="2F5496" w:themeFill="accent1" w:themeFillShade="BF"/>
          </w:tcPr>
          <w:p w14:paraId="0B1870A5" w14:textId="77777777" w:rsidR="00BC6421" w:rsidRPr="00B3381F" w:rsidRDefault="00BC6421" w:rsidP="002E2D27">
            <w:pPr>
              <w:spacing w:line="256" w:lineRule="auto"/>
              <w:rPr>
                <w:rFonts w:ascii="Calibri" w:eastAsia="Calibri" w:hAnsi="Calibri" w:cs="Arial"/>
                <w:bCs/>
                <w:color w:val="FFFFFF" w:themeColor="background1"/>
                <w:sz w:val="24"/>
                <w:szCs w:val="24"/>
                <w:lang w:eastAsia="en-US"/>
              </w:rPr>
            </w:pPr>
            <w:r w:rsidRPr="00B3381F">
              <w:rPr>
                <w:rFonts w:ascii="Calibri" w:eastAsia="Calibri" w:hAnsi="Calibri" w:cs="Arial"/>
                <w:bCs/>
                <w:color w:val="FFFFFF" w:themeColor="background1"/>
                <w:sz w:val="24"/>
                <w:szCs w:val="24"/>
                <w:lang w:eastAsia="en-US"/>
              </w:rPr>
              <w:t>vi locate youth and community within dominant discourses and perspectives and justify arguments for change if required</w:t>
            </w:r>
          </w:p>
        </w:tc>
        <w:tc>
          <w:tcPr>
            <w:tcW w:w="370" w:type="dxa"/>
          </w:tcPr>
          <w:p w14:paraId="43A61A58" w14:textId="77777777" w:rsidR="00BC6421" w:rsidRPr="00B3381F" w:rsidRDefault="00BC6421" w:rsidP="002E2D27">
            <w:pPr>
              <w:spacing w:line="256" w:lineRule="auto"/>
              <w:rPr>
                <w:rFonts w:ascii="Calibri" w:eastAsia="Calibri" w:hAnsi="Calibri" w:cs="Arial"/>
                <w:sz w:val="24"/>
                <w:szCs w:val="24"/>
                <w:lang w:eastAsia="en-US"/>
              </w:rPr>
            </w:pPr>
          </w:p>
        </w:tc>
        <w:tc>
          <w:tcPr>
            <w:tcW w:w="338" w:type="dxa"/>
          </w:tcPr>
          <w:p w14:paraId="564D88D8"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7787AF5E"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2B5F8E61"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0BE5E201"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0D1BEDC6"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037D7B42"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7FEE3A89" w14:textId="77777777" w:rsidR="00BC6421" w:rsidRPr="00B3381F" w:rsidRDefault="00BC6421" w:rsidP="002E2D27">
            <w:pPr>
              <w:spacing w:line="256" w:lineRule="auto"/>
              <w:rPr>
                <w:rFonts w:ascii="Calibri" w:eastAsia="Calibri" w:hAnsi="Calibri"/>
                <w:sz w:val="22"/>
                <w:lang w:eastAsia="en-US"/>
              </w:rPr>
            </w:pPr>
          </w:p>
        </w:tc>
        <w:tc>
          <w:tcPr>
            <w:tcW w:w="397" w:type="dxa"/>
          </w:tcPr>
          <w:p w14:paraId="7148965F" w14:textId="77777777" w:rsidR="00BC6421" w:rsidRPr="00B3381F" w:rsidRDefault="00BC6421" w:rsidP="002E2D27">
            <w:pPr>
              <w:spacing w:line="256" w:lineRule="auto"/>
              <w:rPr>
                <w:rFonts w:ascii="Calibri" w:eastAsia="Calibri" w:hAnsi="Calibri"/>
                <w:sz w:val="22"/>
                <w:lang w:eastAsia="en-US"/>
              </w:rPr>
            </w:pPr>
          </w:p>
        </w:tc>
        <w:tc>
          <w:tcPr>
            <w:tcW w:w="397" w:type="dxa"/>
          </w:tcPr>
          <w:p w14:paraId="08BDBD6A" w14:textId="77777777" w:rsidR="00BC6421" w:rsidRPr="00B3381F" w:rsidRDefault="00BC6421" w:rsidP="002E2D27">
            <w:pPr>
              <w:spacing w:line="256" w:lineRule="auto"/>
              <w:rPr>
                <w:rFonts w:ascii="Calibri" w:eastAsia="Calibri" w:hAnsi="Calibri"/>
                <w:sz w:val="22"/>
                <w:lang w:eastAsia="en-US"/>
              </w:rPr>
            </w:pPr>
          </w:p>
        </w:tc>
        <w:tc>
          <w:tcPr>
            <w:tcW w:w="397" w:type="dxa"/>
          </w:tcPr>
          <w:p w14:paraId="72184B92" w14:textId="77777777" w:rsidR="00BC6421" w:rsidRPr="00B3381F" w:rsidRDefault="00BC6421" w:rsidP="002E2D27">
            <w:pPr>
              <w:spacing w:line="256" w:lineRule="auto"/>
              <w:rPr>
                <w:rFonts w:ascii="Calibri" w:eastAsia="Calibri" w:hAnsi="Calibri"/>
                <w:sz w:val="22"/>
                <w:lang w:eastAsia="en-US"/>
              </w:rPr>
            </w:pPr>
          </w:p>
        </w:tc>
        <w:tc>
          <w:tcPr>
            <w:tcW w:w="397" w:type="dxa"/>
          </w:tcPr>
          <w:p w14:paraId="2918057E"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9978A84" w14:textId="77777777" w:rsidR="00BC6421" w:rsidRPr="00B3381F" w:rsidRDefault="00BC6421" w:rsidP="002E2D27">
            <w:pPr>
              <w:spacing w:line="256" w:lineRule="auto"/>
              <w:rPr>
                <w:rFonts w:ascii="Calibri" w:eastAsia="Calibri" w:hAnsi="Calibri"/>
                <w:sz w:val="22"/>
                <w:lang w:eastAsia="en-US"/>
              </w:rPr>
            </w:pPr>
          </w:p>
        </w:tc>
        <w:tc>
          <w:tcPr>
            <w:tcW w:w="397" w:type="dxa"/>
          </w:tcPr>
          <w:p w14:paraId="65A9B853" w14:textId="77777777" w:rsidR="00BC6421" w:rsidRPr="00B3381F" w:rsidRDefault="00BC6421" w:rsidP="002E2D27">
            <w:pPr>
              <w:spacing w:line="256" w:lineRule="auto"/>
              <w:rPr>
                <w:rFonts w:ascii="Calibri" w:eastAsia="Calibri" w:hAnsi="Calibri"/>
                <w:sz w:val="22"/>
                <w:lang w:eastAsia="en-US"/>
              </w:rPr>
            </w:pPr>
          </w:p>
        </w:tc>
        <w:tc>
          <w:tcPr>
            <w:tcW w:w="397" w:type="dxa"/>
          </w:tcPr>
          <w:p w14:paraId="3B114835" w14:textId="77777777" w:rsidR="00BC6421" w:rsidRPr="00B3381F" w:rsidRDefault="00BC6421" w:rsidP="002E2D27">
            <w:pPr>
              <w:spacing w:line="256" w:lineRule="auto"/>
              <w:rPr>
                <w:rFonts w:ascii="Calibri" w:eastAsia="Calibri" w:hAnsi="Calibri"/>
                <w:sz w:val="22"/>
                <w:lang w:eastAsia="en-US"/>
              </w:rPr>
            </w:pPr>
          </w:p>
        </w:tc>
        <w:tc>
          <w:tcPr>
            <w:tcW w:w="397" w:type="dxa"/>
          </w:tcPr>
          <w:p w14:paraId="210BDCFE"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F29B78A"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E731CF8" w14:textId="77777777" w:rsidR="00BC6421" w:rsidRPr="00B3381F" w:rsidRDefault="00BC6421" w:rsidP="002E2D27">
            <w:pPr>
              <w:spacing w:line="256" w:lineRule="auto"/>
              <w:rPr>
                <w:rFonts w:ascii="Calibri" w:eastAsia="Calibri" w:hAnsi="Calibri"/>
                <w:sz w:val="22"/>
                <w:lang w:eastAsia="en-US"/>
              </w:rPr>
            </w:pPr>
          </w:p>
        </w:tc>
        <w:tc>
          <w:tcPr>
            <w:tcW w:w="397" w:type="dxa"/>
          </w:tcPr>
          <w:p w14:paraId="012B4F42" w14:textId="77777777" w:rsidR="00BC6421" w:rsidRPr="00B3381F" w:rsidRDefault="00BC6421" w:rsidP="002E2D27">
            <w:pPr>
              <w:spacing w:line="259" w:lineRule="auto"/>
              <w:rPr>
                <w:rFonts w:ascii="Calibri" w:eastAsia="Calibri" w:hAnsi="Calibri"/>
                <w:sz w:val="22"/>
                <w:lang w:eastAsia="en-US"/>
              </w:rPr>
            </w:pPr>
          </w:p>
        </w:tc>
        <w:tc>
          <w:tcPr>
            <w:tcW w:w="397" w:type="dxa"/>
          </w:tcPr>
          <w:p w14:paraId="758C3F6F" w14:textId="77777777" w:rsidR="00BC6421" w:rsidRPr="00B3381F" w:rsidRDefault="00BC6421" w:rsidP="002E2D27">
            <w:pPr>
              <w:spacing w:line="259" w:lineRule="auto"/>
              <w:rPr>
                <w:rFonts w:ascii="Calibri" w:eastAsia="Calibri" w:hAnsi="Calibri"/>
                <w:sz w:val="22"/>
                <w:lang w:eastAsia="en-US"/>
              </w:rPr>
            </w:pPr>
          </w:p>
        </w:tc>
        <w:tc>
          <w:tcPr>
            <w:tcW w:w="397" w:type="dxa"/>
          </w:tcPr>
          <w:p w14:paraId="206A88D4" w14:textId="77777777" w:rsidR="00BC6421" w:rsidRPr="00B3381F" w:rsidRDefault="00BC6421" w:rsidP="002E2D27">
            <w:pPr>
              <w:spacing w:line="259" w:lineRule="auto"/>
              <w:rPr>
                <w:rFonts w:ascii="Calibri" w:eastAsia="Calibri" w:hAnsi="Calibri"/>
                <w:sz w:val="22"/>
                <w:lang w:eastAsia="en-US"/>
              </w:rPr>
            </w:pPr>
          </w:p>
        </w:tc>
        <w:tc>
          <w:tcPr>
            <w:tcW w:w="397" w:type="dxa"/>
          </w:tcPr>
          <w:p w14:paraId="320FE3A4" w14:textId="77777777" w:rsidR="00BC6421" w:rsidRPr="00B3381F" w:rsidRDefault="00BC6421" w:rsidP="002E2D27">
            <w:pPr>
              <w:spacing w:line="259" w:lineRule="auto"/>
              <w:rPr>
                <w:rFonts w:ascii="Calibri" w:eastAsia="Calibri" w:hAnsi="Calibri"/>
                <w:sz w:val="22"/>
                <w:lang w:eastAsia="en-US"/>
              </w:rPr>
            </w:pPr>
          </w:p>
        </w:tc>
        <w:tc>
          <w:tcPr>
            <w:tcW w:w="397" w:type="dxa"/>
          </w:tcPr>
          <w:p w14:paraId="269CCE04" w14:textId="77777777" w:rsidR="00BC6421" w:rsidRPr="00B3381F" w:rsidRDefault="00BC6421" w:rsidP="002E2D27">
            <w:pPr>
              <w:spacing w:line="259" w:lineRule="auto"/>
              <w:rPr>
                <w:rFonts w:ascii="Calibri" w:eastAsia="Calibri" w:hAnsi="Calibri"/>
                <w:sz w:val="22"/>
                <w:lang w:eastAsia="en-US"/>
              </w:rPr>
            </w:pPr>
          </w:p>
        </w:tc>
        <w:tc>
          <w:tcPr>
            <w:tcW w:w="397" w:type="dxa"/>
          </w:tcPr>
          <w:p w14:paraId="68983536" w14:textId="77777777" w:rsidR="00BC6421" w:rsidRPr="00B3381F" w:rsidRDefault="00BC6421" w:rsidP="002E2D27">
            <w:pPr>
              <w:spacing w:line="259" w:lineRule="auto"/>
              <w:rPr>
                <w:rFonts w:ascii="Calibri" w:eastAsia="Calibri" w:hAnsi="Calibri"/>
                <w:sz w:val="22"/>
                <w:lang w:eastAsia="en-US"/>
              </w:rPr>
            </w:pPr>
          </w:p>
        </w:tc>
        <w:tc>
          <w:tcPr>
            <w:tcW w:w="397" w:type="dxa"/>
          </w:tcPr>
          <w:p w14:paraId="323E3694" w14:textId="77777777" w:rsidR="00BC6421" w:rsidRPr="00B3381F" w:rsidRDefault="00BC6421" w:rsidP="002E2D27">
            <w:pPr>
              <w:spacing w:line="259" w:lineRule="auto"/>
              <w:rPr>
                <w:rFonts w:ascii="Calibri" w:eastAsia="Calibri" w:hAnsi="Calibri"/>
                <w:sz w:val="22"/>
                <w:lang w:eastAsia="en-US"/>
              </w:rPr>
            </w:pPr>
          </w:p>
        </w:tc>
        <w:tc>
          <w:tcPr>
            <w:tcW w:w="397" w:type="dxa"/>
          </w:tcPr>
          <w:p w14:paraId="17C09D11" w14:textId="77777777" w:rsidR="00BC6421" w:rsidRPr="00B3381F" w:rsidRDefault="00BC6421" w:rsidP="002E2D27">
            <w:pPr>
              <w:spacing w:line="259" w:lineRule="auto"/>
              <w:rPr>
                <w:rFonts w:ascii="Calibri" w:eastAsia="Calibri" w:hAnsi="Calibri"/>
                <w:sz w:val="22"/>
                <w:lang w:eastAsia="en-US"/>
              </w:rPr>
            </w:pPr>
          </w:p>
        </w:tc>
      </w:tr>
      <w:tr w:rsidR="00BC6421" w:rsidRPr="00B3381F" w14:paraId="7F331EA6" w14:textId="77777777" w:rsidTr="002E2D27">
        <w:trPr>
          <w:gridAfter w:val="1"/>
          <w:wAfter w:w="56" w:type="dxa"/>
        </w:trPr>
        <w:tc>
          <w:tcPr>
            <w:tcW w:w="4025" w:type="dxa"/>
            <w:shd w:val="clear" w:color="auto" w:fill="2F5496" w:themeFill="accent1" w:themeFillShade="BF"/>
          </w:tcPr>
          <w:p w14:paraId="30A3DB0A" w14:textId="77777777" w:rsidR="00BC6421" w:rsidRPr="00B3381F" w:rsidRDefault="00BC6421" w:rsidP="002E2D27">
            <w:pPr>
              <w:spacing w:line="256" w:lineRule="auto"/>
              <w:rPr>
                <w:rFonts w:asciiTheme="majorHAnsi" w:eastAsia="Calibri" w:hAnsiTheme="majorHAnsi" w:cstheme="majorHAnsi"/>
                <w:bCs/>
                <w:color w:val="FFFFFF" w:themeColor="background1"/>
                <w:sz w:val="24"/>
                <w:szCs w:val="24"/>
                <w:lang w:eastAsia="en-US"/>
              </w:rPr>
            </w:pPr>
            <w:r w:rsidRPr="00B3381F">
              <w:rPr>
                <w:rFonts w:asciiTheme="majorHAnsi" w:eastAsia="Calibri" w:hAnsiTheme="majorHAnsi" w:cstheme="majorHAnsi"/>
                <w:bCs/>
                <w:color w:val="FFFFFF" w:themeColor="background1"/>
                <w:sz w:val="24"/>
                <w:szCs w:val="24"/>
                <w:lang w:eastAsia="en-US"/>
              </w:rPr>
              <w:t xml:space="preserve">vii interpret and justify the practice of youth </w:t>
            </w:r>
            <w:r w:rsidRPr="00B3381F">
              <w:rPr>
                <w:rFonts w:asciiTheme="minorHAnsi" w:eastAsia="Calibri" w:hAnsiTheme="minorHAnsi" w:cstheme="minorHAnsi"/>
                <w:bCs/>
                <w:color w:val="FFFFFF" w:themeColor="background1"/>
                <w:sz w:val="24"/>
                <w:szCs w:val="24"/>
                <w:lang w:eastAsia="en-US"/>
              </w:rPr>
              <w:t>work</w:t>
            </w:r>
            <w:r w:rsidRPr="00B3381F">
              <w:rPr>
                <w:rFonts w:asciiTheme="majorHAnsi" w:eastAsia="Calibri" w:hAnsiTheme="majorHAnsi" w:cstheme="majorHAnsi"/>
                <w:bCs/>
                <w:color w:val="FFFFFF" w:themeColor="background1"/>
                <w:sz w:val="24"/>
                <w:szCs w:val="24"/>
                <w:lang w:eastAsia="en-US"/>
              </w:rPr>
              <w:t>, community education and community development within professions, society and social policy.</w:t>
            </w:r>
          </w:p>
        </w:tc>
        <w:tc>
          <w:tcPr>
            <w:tcW w:w="370" w:type="dxa"/>
          </w:tcPr>
          <w:p w14:paraId="1916D884" w14:textId="77777777" w:rsidR="00BC6421" w:rsidRPr="00B3381F" w:rsidRDefault="00BC6421" w:rsidP="002E2D27">
            <w:pPr>
              <w:spacing w:line="256" w:lineRule="auto"/>
              <w:rPr>
                <w:rFonts w:ascii="Calibri" w:eastAsia="Calibri" w:hAnsi="Calibri" w:cs="Arial"/>
                <w:sz w:val="24"/>
                <w:szCs w:val="24"/>
                <w:lang w:eastAsia="en-US"/>
              </w:rPr>
            </w:pPr>
          </w:p>
        </w:tc>
        <w:tc>
          <w:tcPr>
            <w:tcW w:w="338" w:type="dxa"/>
          </w:tcPr>
          <w:p w14:paraId="1C7CF72E"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01234E2C"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427A92C6"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735D96E3"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6872696A"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0842F788" w14:textId="77777777" w:rsidR="00BC6421" w:rsidRPr="00B3381F" w:rsidRDefault="00BC6421" w:rsidP="002E2D27">
            <w:pPr>
              <w:spacing w:line="256" w:lineRule="auto"/>
              <w:rPr>
                <w:rFonts w:ascii="Calibri" w:eastAsia="Calibri" w:hAnsi="Calibri" w:cs="Arial"/>
                <w:sz w:val="24"/>
                <w:szCs w:val="24"/>
                <w:lang w:eastAsia="en-US"/>
              </w:rPr>
            </w:pPr>
          </w:p>
        </w:tc>
        <w:tc>
          <w:tcPr>
            <w:tcW w:w="397" w:type="dxa"/>
          </w:tcPr>
          <w:p w14:paraId="0C1EBEBA"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287A064" w14:textId="77777777" w:rsidR="00BC6421" w:rsidRPr="00B3381F" w:rsidRDefault="00BC6421" w:rsidP="002E2D27">
            <w:pPr>
              <w:spacing w:line="256" w:lineRule="auto"/>
              <w:rPr>
                <w:rFonts w:ascii="Calibri" w:eastAsia="Calibri" w:hAnsi="Calibri"/>
                <w:sz w:val="22"/>
                <w:lang w:eastAsia="en-US"/>
              </w:rPr>
            </w:pPr>
          </w:p>
        </w:tc>
        <w:tc>
          <w:tcPr>
            <w:tcW w:w="397" w:type="dxa"/>
          </w:tcPr>
          <w:p w14:paraId="7820E65B" w14:textId="77777777" w:rsidR="00BC6421" w:rsidRPr="00B3381F" w:rsidRDefault="00BC6421" w:rsidP="002E2D27">
            <w:pPr>
              <w:spacing w:line="256" w:lineRule="auto"/>
              <w:rPr>
                <w:rFonts w:ascii="Calibri" w:eastAsia="Calibri" w:hAnsi="Calibri"/>
                <w:sz w:val="22"/>
                <w:lang w:eastAsia="en-US"/>
              </w:rPr>
            </w:pPr>
          </w:p>
        </w:tc>
        <w:tc>
          <w:tcPr>
            <w:tcW w:w="397" w:type="dxa"/>
          </w:tcPr>
          <w:p w14:paraId="21321C95" w14:textId="77777777" w:rsidR="00BC6421" w:rsidRPr="00B3381F" w:rsidRDefault="00BC6421" w:rsidP="002E2D27">
            <w:pPr>
              <w:spacing w:line="256" w:lineRule="auto"/>
              <w:rPr>
                <w:rFonts w:ascii="Calibri" w:eastAsia="Calibri" w:hAnsi="Calibri"/>
                <w:sz w:val="22"/>
                <w:lang w:eastAsia="en-US"/>
              </w:rPr>
            </w:pPr>
          </w:p>
        </w:tc>
        <w:tc>
          <w:tcPr>
            <w:tcW w:w="397" w:type="dxa"/>
          </w:tcPr>
          <w:p w14:paraId="1A7F4CC8" w14:textId="77777777" w:rsidR="00BC6421" w:rsidRPr="00B3381F" w:rsidRDefault="00BC6421" w:rsidP="002E2D27">
            <w:pPr>
              <w:spacing w:line="256" w:lineRule="auto"/>
              <w:rPr>
                <w:rFonts w:ascii="Calibri" w:eastAsia="Calibri" w:hAnsi="Calibri"/>
                <w:sz w:val="22"/>
                <w:lang w:eastAsia="en-US"/>
              </w:rPr>
            </w:pPr>
          </w:p>
        </w:tc>
        <w:tc>
          <w:tcPr>
            <w:tcW w:w="397" w:type="dxa"/>
          </w:tcPr>
          <w:p w14:paraId="20B16787"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0DD7BD6" w14:textId="77777777" w:rsidR="00BC6421" w:rsidRPr="00B3381F" w:rsidRDefault="00BC6421" w:rsidP="002E2D27">
            <w:pPr>
              <w:spacing w:line="256" w:lineRule="auto"/>
              <w:rPr>
                <w:rFonts w:ascii="Calibri" w:eastAsia="Calibri" w:hAnsi="Calibri"/>
                <w:sz w:val="22"/>
                <w:lang w:eastAsia="en-US"/>
              </w:rPr>
            </w:pPr>
          </w:p>
        </w:tc>
        <w:tc>
          <w:tcPr>
            <w:tcW w:w="397" w:type="dxa"/>
          </w:tcPr>
          <w:p w14:paraId="5BE499C1" w14:textId="77777777" w:rsidR="00BC6421" w:rsidRPr="00B3381F" w:rsidRDefault="00BC6421" w:rsidP="002E2D27">
            <w:pPr>
              <w:spacing w:line="256" w:lineRule="auto"/>
              <w:rPr>
                <w:rFonts w:ascii="Calibri" w:eastAsia="Calibri" w:hAnsi="Calibri"/>
                <w:sz w:val="22"/>
                <w:lang w:eastAsia="en-US"/>
              </w:rPr>
            </w:pPr>
          </w:p>
        </w:tc>
        <w:tc>
          <w:tcPr>
            <w:tcW w:w="397" w:type="dxa"/>
          </w:tcPr>
          <w:p w14:paraId="6BEB7939" w14:textId="77777777" w:rsidR="00BC6421" w:rsidRPr="00B3381F" w:rsidRDefault="00BC6421" w:rsidP="002E2D27">
            <w:pPr>
              <w:spacing w:line="256" w:lineRule="auto"/>
              <w:rPr>
                <w:rFonts w:ascii="Calibri" w:eastAsia="Calibri" w:hAnsi="Calibri"/>
                <w:sz w:val="22"/>
                <w:lang w:eastAsia="en-US"/>
              </w:rPr>
            </w:pPr>
          </w:p>
        </w:tc>
        <w:tc>
          <w:tcPr>
            <w:tcW w:w="397" w:type="dxa"/>
          </w:tcPr>
          <w:p w14:paraId="43966011" w14:textId="77777777" w:rsidR="00BC6421" w:rsidRPr="00B3381F" w:rsidRDefault="00BC6421" w:rsidP="002E2D27">
            <w:pPr>
              <w:spacing w:line="256" w:lineRule="auto"/>
              <w:rPr>
                <w:rFonts w:ascii="Calibri" w:eastAsia="Calibri" w:hAnsi="Calibri"/>
                <w:sz w:val="22"/>
                <w:lang w:eastAsia="en-US"/>
              </w:rPr>
            </w:pPr>
          </w:p>
        </w:tc>
        <w:tc>
          <w:tcPr>
            <w:tcW w:w="397" w:type="dxa"/>
          </w:tcPr>
          <w:p w14:paraId="7AF0366D" w14:textId="77777777" w:rsidR="00BC6421" w:rsidRPr="00B3381F" w:rsidRDefault="00BC6421" w:rsidP="002E2D27">
            <w:pPr>
              <w:spacing w:line="256" w:lineRule="auto"/>
              <w:rPr>
                <w:rFonts w:ascii="Calibri" w:eastAsia="Calibri" w:hAnsi="Calibri"/>
                <w:sz w:val="22"/>
                <w:lang w:eastAsia="en-US"/>
              </w:rPr>
            </w:pPr>
          </w:p>
        </w:tc>
        <w:tc>
          <w:tcPr>
            <w:tcW w:w="397" w:type="dxa"/>
          </w:tcPr>
          <w:p w14:paraId="6C64F406" w14:textId="77777777" w:rsidR="00BC6421" w:rsidRPr="00B3381F" w:rsidRDefault="00BC6421" w:rsidP="002E2D27">
            <w:pPr>
              <w:spacing w:line="259" w:lineRule="auto"/>
              <w:rPr>
                <w:rFonts w:ascii="Calibri" w:eastAsia="Calibri" w:hAnsi="Calibri"/>
                <w:sz w:val="22"/>
                <w:lang w:eastAsia="en-US"/>
              </w:rPr>
            </w:pPr>
          </w:p>
        </w:tc>
        <w:tc>
          <w:tcPr>
            <w:tcW w:w="397" w:type="dxa"/>
          </w:tcPr>
          <w:p w14:paraId="77F270E7" w14:textId="77777777" w:rsidR="00BC6421" w:rsidRPr="00B3381F" w:rsidRDefault="00BC6421" w:rsidP="002E2D27">
            <w:pPr>
              <w:spacing w:line="259" w:lineRule="auto"/>
              <w:rPr>
                <w:rFonts w:ascii="Calibri" w:eastAsia="Calibri" w:hAnsi="Calibri"/>
                <w:sz w:val="22"/>
                <w:lang w:eastAsia="en-US"/>
              </w:rPr>
            </w:pPr>
          </w:p>
        </w:tc>
        <w:tc>
          <w:tcPr>
            <w:tcW w:w="397" w:type="dxa"/>
          </w:tcPr>
          <w:p w14:paraId="2AE24F52" w14:textId="77777777" w:rsidR="00BC6421" w:rsidRPr="00B3381F" w:rsidRDefault="00BC6421" w:rsidP="002E2D27">
            <w:pPr>
              <w:spacing w:line="259" w:lineRule="auto"/>
              <w:rPr>
                <w:rFonts w:ascii="Calibri" w:eastAsia="Calibri" w:hAnsi="Calibri"/>
                <w:sz w:val="22"/>
                <w:lang w:eastAsia="en-US"/>
              </w:rPr>
            </w:pPr>
          </w:p>
        </w:tc>
        <w:tc>
          <w:tcPr>
            <w:tcW w:w="397" w:type="dxa"/>
          </w:tcPr>
          <w:p w14:paraId="4709CAF0" w14:textId="77777777" w:rsidR="00BC6421" w:rsidRPr="00B3381F" w:rsidRDefault="00BC6421" w:rsidP="002E2D27">
            <w:pPr>
              <w:spacing w:line="259" w:lineRule="auto"/>
              <w:rPr>
                <w:rFonts w:ascii="Calibri" w:eastAsia="Calibri" w:hAnsi="Calibri"/>
                <w:sz w:val="22"/>
                <w:lang w:eastAsia="en-US"/>
              </w:rPr>
            </w:pPr>
          </w:p>
        </w:tc>
        <w:tc>
          <w:tcPr>
            <w:tcW w:w="397" w:type="dxa"/>
          </w:tcPr>
          <w:p w14:paraId="5DBB4455" w14:textId="77777777" w:rsidR="00BC6421" w:rsidRPr="00B3381F" w:rsidRDefault="00BC6421" w:rsidP="002E2D27">
            <w:pPr>
              <w:spacing w:line="259" w:lineRule="auto"/>
              <w:rPr>
                <w:rFonts w:ascii="Calibri" w:eastAsia="Calibri" w:hAnsi="Calibri"/>
                <w:sz w:val="22"/>
                <w:lang w:eastAsia="en-US"/>
              </w:rPr>
            </w:pPr>
          </w:p>
        </w:tc>
        <w:tc>
          <w:tcPr>
            <w:tcW w:w="397" w:type="dxa"/>
          </w:tcPr>
          <w:p w14:paraId="74396756" w14:textId="77777777" w:rsidR="00BC6421" w:rsidRPr="00B3381F" w:rsidRDefault="00BC6421" w:rsidP="002E2D27">
            <w:pPr>
              <w:spacing w:line="259" w:lineRule="auto"/>
              <w:rPr>
                <w:rFonts w:ascii="Calibri" w:eastAsia="Calibri" w:hAnsi="Calibri"/>
                <w:sz w:val="22"/>
                <w:lang w:eastAsia="en-US"/>
              </w:rPr>
            </w:pPr>
          </w:p>
        </w:tc>
        <w:tc>
          <w:tcPr>
            <w:tcW w:w="397" w:type="dxa"/>
          </w:tcPr>
          <w:p w14:paraId="593E551D" w14:textId="77777777" w:rsidR="00BC6421" w:rsidRPr="00B3381F" w:rsidRDefault="00BC6421" w:rsidP="002E2D27">
            <w:pPr>
              <w:spacing w:line="259" w:lineRule="auto"/>
              <w:rPr>
                <w:rFonts w:ascii="Calibri" w:eastAsia="Calibri" w:hAnsi="Calibri"/>
                <w:sz w:val="22"/>
                <w:lang w:eastAsia="en-US"/>
              </w:rPr>
            </w:pPr>
          </w:p>
        </w:tc>
        <w:tc>
          <w:tcPr>
            <w:tcW w:w="397" w:type="dxa"/>
          </w:tcPr>
          <w:p w14:paraId="47541193" w14:textId="77777777" w:rsidR="00BC6421" w:rsidRPr="00B3381F" w:rsidRDefault="00BC6421" w:rsidP="002E2D27">
            <w:pPr>
              <w:spacing w:line="259" w:lineRule="auto"/>
              <w:rPr>
                <w:rFonts w:ascii="Calibri" w:eastAsia="Calibri" w:hAnsi="Calibri"/>
                <w:sz w:val="22"/>
                <w:lang w:eastAsia="en-US"/>
              </w:rPr>
            </w:pPr>
          </w:p>
        </w:tc>
      </w:tr>
    </w:tbl>
    <w:p w14:paraId="1E18AB3D" w14:textId="77777777" w:rsidR="00B3381F" w:rsidRPr="00B3381F" w:rsidRDefault="00B3381F" w:rsidP="00B3381F">
      <w:pPr>
        <w:spacing w:after="160" w:line="259" w:lineRule="auto"/>
        <w:rPr>
          <w:rFonts w:ascii="Calibri" w:eastAsia="Calibri" w:hAnsi="Calibri"/>
          <w:sz w:val="22"/>
          <w:szCs w:val="22"/>
          <w:lang w:eastAsia="en-US"/>
        </w:rPr>
      </w:pPr>
    </w:p>
    <w:p w14:paraId="336E004E"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 xml:space="preserve">A graduate achieving the </w:t>
      </w:r>
      <w:r w:rsidRPr="00B3381F">
        <w:rPr>
          <w:rFonts w:ascii="Calibri" w:eastAsia="Calibri" w:hAnsi="Calibri"/>
          <w:b/>
          <w:bCs/>
          <w:sz w:val="22"/>
          <w:szCs w:val="22"/>
          <w:lang w:eastAsia="en-US"/>
        </w:rPr>
        <w:t>threshold</w:t>
      </w:r>
      <w:r w:rsidRPr="00B3381F">
        <w:rPr>
          <w:rFonts w:ascii="Calibri" w:eastAsia="Calibri" w:hAnsi="Calibri"/>
          <w:sz w:val="22"/>
          <w:szCs w:val="22"/>
          <w:lang w:eastAsia="en-US"/>
        </w:rPr>
        <w:t xml:space="preserve"> standard is able to:</w:t>
      </w:r>
    </w:p>
    <w:p w14:paraId="1E0E6C35" w14:textId="77777777" w:rsidR="00B3381F" w:rsidRPr="00B3381F" w:rsidRDefault="00B3381F" w:rsidP="00B3381F">
      <w:pPr>
        <w:spacing w:after="160" w:line="256" w:lineRule="auto"/>
        <w:rPr>
          <w:rFonts w:ascii="Calibri" w:eastAsia="Calibri" w:hAnsi="Calibri"/>
          <w:sz w:val="22"/>
          <w:szCs w:val="22"/>
          <w:lang w:eastAsia="en-US"/>
        </w:rPr>
      </w:pPr>
      <w:proofErr w:type="spellStart"/>
      <w:r w:rsidRPr="00B3381F">
        <w:rPr>
          <w:rFonts w:ascii="Calibri" w:eastAsia="Calibri" w:hAnsi="Calibri"/>
          <w:sz w:val="22"/>
          <w:szCs w:val="22"/>
          <w:lang w:eastAsia="en-US"/>
        </w:rPr>
        <w:t>i</w:t>
      </w:r>
      <w:proofErr w:type="spellEnd"/>
      <w:r w:rsidRPr="00B3381F">
        <w:rPr>
          <w:rFonts w:ascii="Calibri" w:eastAsia="Calibri" w:hAnsi="Calibri"/>
          <w:sz w:val="22"/>
          <w:szCs w:val="22"/>
          <w:lang w:eastAsia="en-US"/>
        </w:rPr>
        <w:t xml:space="preserve"> describe the underlying professional value base and ethical principles of youth and community work and use these to conduct practice</w:t>
      </w:r>
    </w:p>
    <w:p w14:paraId="2A59E5C0"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 discuss and apply a personal and professional commitment to equality, diversity, human rights, autonomy, freedom, responsibility and justice</w:t>
      </w:r>
    </w:p>
    <w:p w14:paraId="55CFCEF1"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iii construct youth and community practice interventions informed by theories of change, learning and human development</w:t>
      </w:r>
    </w:p>
    <w:p w14:paraId="2042C560"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iv formulate action in association with young people and communities that promotes participation, inclusion, learning and human flourishing</w:t>
      </w:r>
    </w:p>
    <w:p w14:paraId="3C9AB4D7"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 recognise social theory, social policy and media discourses and their impact on young people and communities</w:t>
      </w:r>
    </w:p>
    <w:p w14:paraId="16186217"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 inspect current youth and community work practice using basic research methods, and question professional understandings</w:t>
      </w:r>
    </w:p>
    <w:p w14:paraId="4077D8DC"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vii locate and distinguish youth and community work practice in the context of interprofessional and multidisciplinary practice</w:t>
      </w:r>
    </w:p>
    <w:p w14:paraId="50C734DB"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viii identify contemporary debates, key concepts and contested issues within then discipline and comment on them</w:t>
      </w:r>
    </w:p>
    <w:p w14:paraId="05439399"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 xml:space="preserve">ix seek out, use and evaluate literature, research and practice evidence </w:t>
      </w:r>
    </w:p>
    <w:p w14:paraId="0C82067D"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x communicate effectively verbally and in writing using basic academic and professional standards.</w:t>
      </w:r>
    </w:p>
    <w:p w14:paraId="733F9BD6"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 xml:space="preserve">7.4 A youth and community work graduate achieving the </w:t>
      </w:r>
      <w:r w:rsidRPr="00B3381F">
        <w:rPr>
          <w:rFonts w:ascii="Calibri" w:eastAsia="Calibri" w:hAnsi="Calibri"/>
          <w:b/>
          <w:bCs/>
          <w:sz w:val="22"/>
          <w:szCs w:val="22"/>
          <w:lang w:eastAsia="en-US"/>
        </w:rPr>
        <w:t>typical</w:t>
      </w:r>
      <w:r w:rsidRPr="00B3381F">
        <w:rPr>
          <w:rFonts w:ascii="Calibri" w:eastAsia="Calibri" w:hAnsi="Calibri"/>
          <w:sz w:val="22"/>
          <w:szCs w:val="22"/>
          <w:lang w:eastAsia="en-US"/>
        </w:rPr>
        <w:t xml:space="preserve"> standard is able to (in addition to the threshold standard):</w:t>
      </w:r>
    </w:p>
    <w:p w14:paraId="6A4A43F2" w14:textId="77777777" w:rsidR="00B3381F" w:rsidRPr="00B3381F" w:rsidRDefault="00B3381F" w:rsidP="00B3381F">
      <w:pPr>
        <w:spacing w:after="160" w:line="256" w:lineRule="auto"/>
        <w:rPr>
          <w:rFonts w:ascii="Calibri" w:eastAsia="Calibri" w:hAnsi="Calibri"/>
          <w:sz w:val="22"/>
          <w:szCs w:val="22"/>
          <w:lang w:eastAsia="en-US"/>
        </w:rPr>
      </w:pPr>
      <w:proofErr w:type="spellStart"/>
      <w:r w:rsidRPr="00B3381F">
        <w:rPr>
          <w:rFonts w:ascii="Calibri" w:eastAsia="Calibri" w:hAnsi="Calibri"/>
          <w:sz w:val="22"/>
          <w:szCs w:val="22"/>
          <w:lang w:eastAsia="en-US"/>
        </w:rPr>
        <w:t>i</w:t>
      </w:r>
      <w:proofErr w:type="spellEnd"/>
      <w:r w:rsidRPr="00B3381F">
        <w:rPr>
          <w:rFonts w:ascii="Calibri" w:eastAsia="Calibri" w:hAnsi="Calibri"/>
          <w:sz w:val="22"/>
          <w:szCs w:val="22"/>
          <w:lang w:eastAsia="en-US"/>
        </w:rPr>
        <w:t xml:space="preserve"> critically appraise dilemmas and complex ethics to devise responses informed by the professional value base and ethical principles of youth and community work</w:t>
      </w:r>
    </w:p>
    <w:p w14:paraId="3E1D87A3"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 analyse youth and community work practice within a comparative context using theory and evidence from a range of local, regional, national and international sources</w:t>
      </w:r>
    </w:p>
    <w:p w14:paraId="0DE94133"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iii investigate their own youth and community work practice using reflective practice and research methods and propose alternative future action</w:t>
      </w:r>
    </w:p>
    <w:p w14:paraId="4876F1DB"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iv appraise social theory and social policy discourses and distinguish clearly between normative and empirical arguments and assess their impact on young people and communities</w:t>
      </w:r>
    </w:p>
    <w:p w14:paraId="16293E78"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 analyse and critically evaluate competing perspectives, recognise contested concepts and inspect their impact on youth and community work</w:t>
      </w:r>
    </w:p>
    <w:p w14:paraId="474E4840"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 locate youth and community within dominant discourses and perspectives and justify arguments for change if required</w:t>
      </w:r>
    </w:p>
    <w:p w14:paraId="2136A41B"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vii interpret and justify the practice of youth work, community education and community development within professions, society and social policy.</w:t>
      </w:r>
    </w:p>
    <w:p w14:paraId="48426604"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 xml:space="preserve">7.5 Youth and community work graduates achieving an </w:t>
      </w:r>
      <w:r w:rsidRPr="00B3381F">
        <w:rPr>
          <w:rFonts w:ascii="Calibri" w:eastAsia="Calibri" w:hAnsi="Calibri"/>
          <w:b/>
          <w:bCs/>
          <w:sz w:val="22"/>
          <w:szCs w:val="22"/>
          <w:lang w:eastAsia="en-US"/>
        </w:rPr>
        <w:t>excellent</w:t>
      </w:r>
      <w:r w:rsidRPr="00B3381F">
        <w:rPr>
          <w:rFonts w:ascii="Calibri" w:eastAsia="Calibri" w:hAnsi="Calibri"/>
          <w:sz w:val="22"/>
          <w:szCs w:val="22"/>
          <w:lang w:eastAsia="en-US"/>
        </w:rPr>
        <w:t xml:space="preserve"> standard demonstrate to a higher level the knowledge and skills listed above and in addition show evidence of:</w:t>
      </w:r>
    </w:p>
    <w:p w14:paraId="365088DC" w14:textId="77777777" w:rsidR="00B3381F" w:rsidRPr="00B3381F" w:rsidRDefault="00B3381F" w:rsidP="00B3381F">
      <w:pPr>
        <w:spacing w:after="160" w:line="256" w:lineRule="auto"/>
        <w:rPr>
          <w:rFonts w:ascii="Calibri" w:eastAsia="Calibri" w:hAnsi="Calibri"/>
          <w:sz w:val="22"/>
          <w:szCs w:val="22"/>
          <w:lang w:eastAsia="en-US"/>
        </w:rPr>
      </w:pPr>
      <w:proofErr w:type="spellStart"/>
      <w:r w:rsidRPr="00B3381F">
        <w:rPr>
          <w:rFonts w:ascii="Calibri" w:eastAsia="Calibri" w:hAnsi="Calibri"/>
          <w:sz w:val="22"/>
          <w:szCs w:val="22"/>
          <w:lang w:eastAsia="en-US"/>
        </w:rPr>
        <w:t>i</w:t>
      </w:r>
      <w:proofErr w:type="spellEnd"/>
      <w:r w:rsidRPr="00B3381F">
        <w:rPr>
          <w:rFonts w:ascii="Calibri" w:eastAsia="Calibri" w:hAnsi="Calibri"/>
          <w:sz w:val="22"/>
          <w:szCs w:val="22"/>
          <w:lang w:eastAsia="en-US"/>
        </w:rPr>
        <w:t xml:space="preserve"> a systemic approach to learning and practice</w:t>
      </w:r>
    </w:p>
    <w:p w14:paraId="4A9F3EDB"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 extensive independent reading</w:t>
      </w:r>
    </w:p>
    <w:p w14:paraId="5A3B36B7"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iii originality of thought and expression</w:t>
      </w:r>
    </w:p>
    <w:p w14:paraId="2CAEFE8C"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iv critical insight, analytic rigour and systematic synthesis of theoretical and evidence informed knowledge applied effectively in the work-based professional context</w:t>
      </w:r>
    </w:p>
    <w:p w14:paraId="50680232"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 application of wide-ranging knowledge of the subject</w:t>
      </w:r>
    </w:p>
    <w:p w14:paraId="412920FD"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 originality and innovation in the practice setting contribution to practice knowledge</w:t>
      </w:r>
    </w:p>
    <w:p w14:paraId="61E3682B"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base and effective sharing of practice with colleagues.</w:t>
      </w:r>
    </w:p>
    <w:p w14:paraId="6C2026CA"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7.6 Graduates who have received a professional qualification meet the standards defined by the relevant endorsement body. Graduates on a professionally endorsed qualification are typically able to:</w:t>
      </w:r>
    </w:p>
    <w:p w14:paraId="287D062D" w14:textId="77777777" w:rsidR="00B3381F" w:rsidRPr="00B3381F" w:rsidRDefault="00B3381F" w:rsidP="00B3381F">
      <w:pPr>
        <w:spacing w:after="160" w:line="256" w:lineRule="auto"/>
        <w:rPr>
          <w:rFonts w:ascii="Calibri" w:eastAsia="Calibri" w:hAnsi="Calibri"/>
          <w:sz w:val="22"/>
          <w:szCs w:val="22"/>
          <w:lang w:eastAsia="en-US"/>
        </w:rPr>
      </w:pPr>
      <w:proofErr w:type="spellStart"/>
      <w:r w:rsidRPr="00B3381F">
        <w:rPr>
          <w:rFonts w:ascii="Calibri" w:eastAsia="Calibri" w:hAnsi="Calibri"/>
          <w:sz w:val="22"/>
          <w:szCs w:val="22"/>
          <w:lang w:eastAsia="en-US"/>
        </w:rPr>
        <w:t>i</w:t>
      </w:r>
      <w:proofErr w:type="spellEnd"/>
      <w:r w:rsidRPr="00B3381F">
        <w:rPr>
          <w:rFonts w:ascii="Calibri" w:eastAsia="Calibri" w:hAnsi="Calibri"/>
          <w:sz w:val="22"/>
          <w:szCs w:val="22"/>
          <w:lang w:eastAsia="en-US"/>
        </w:rPr>
        <w:t xml:space="preserve"> create and apply theories about practice and demonstrate practice skills as outlined</w:t>
      </w:r>
    </w:p>
    <w:p w14:paraId="5F62AA50"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in this Statement</w:t>
      </w:r>
    </w:p>
    <w:p w14:paraId="672CA137"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 design practice which integrates theory and is evidence informed</w:t>
      </w:r>
    </w:p>
    <w:p w14:paraId="3631B93C"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iii practise ethically, recognising the complex, contested and essential nature of</w:t>
      </w:r>
    </w:p>
    <w:p w14:paraId="2C9C0F1C"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ethical practice in this discipline</w:t>
      </w:r>
    </w:p>
    <w:p w14:paraId="79FC769E"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iv identify discrimination, oppression and/or exclusion and be strategic in developing</w:t>
      </w:r>
    </w:p>
    <w:p w14:paraId="655F763F"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interventions to address these and promote inclusion</w:t>
      </w:r>
    </w:p>
    <w:p w14:paraId="1A4829A1"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 manage complex accountabilities, including being able to compromise and</w:t>
      </w:r>
    </w:p>
    <w:p w14:paraId="5D71B7B0"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negotiate without losing integrity and professional principles</w:t>
      </w:r>
    </w:p>
    <w:p w14:paraId="6EA0CF99"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 recognise and analyse powerful social policy and media discourses shaping</w:t>
      </w:r>
    </w:p>
    <w:p w14:paraId="2A4919AB"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practice, in order to work in the interests of young people and community group</w:t>
      </w:r>
    </w:p>
    <w:p w14:paraId="516A7CFA"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members</w:t>
      </w:r>
    </w:p>
    <w:p w14:paraId="7D496413"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vii facilitate informal and community learning and community development, using</w:t>
      </w:r>
    </w:p>
    <w:p w14:paraId="03912444"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group work and a range of interpersonal skills; ability to operation in deregulated</w:t>
      </w:r>
    </w:p>
    <w:p w14:paraId="722905D0"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environment</w:t>
      </w:r>
    </w:p>
    <w:p w14:paraId="2AD0F6D9"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viii record, evaluate and report on the impact of interventions in the context of up-</w:t>
      </w:r>
      <w:proofErr w:type="spellStart"/>
      <w:r w:rsidRPr="00B3381F">
        <w:rPr>
          <w:rFonts w:ascii="Calibri" w:eastAsia="Calibri" w:hAnsi="Calibri"/>
          <w:sz w:val="22"/>
          <w:szCs w:val="22"/>
          <w:lang w:eastAsia="en-US"/>
        </w:rPr>
        <w:t>todate</w:t>
      </w:r>
      <w:proofErr w:type="spellEnd"/>
      <w:r w:rsidRPr="00B3381F">
        <w:rPr>
          <w:rFonts w:ascii="Calibri" w:eastAsia="Calibri" w:hAnsi="Calibri"/>
          <w:sz w:val="22"/>
          <w:szCs w:val="22"/>
          <w:lang w:eastAsia="en-US"/>
        </w:rPr>
        <w:t xml:space="preserve"> knowledge</w:t>
      </w:r>
    </w:p>
    <w:p w14:paraId="2D9AA718"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ix operate as critical and reflective practitioners</w:t>
      </w:r>
    </w:p>
    <w:p w14:paraId="21090967"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x promote experiential learning and reflection in self and others</w:t>
      </w:r>
    </w:p>
    <w:p w14:paraId="72BA8B68"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xi exhibit insight and confidence in managing themselves and draw on conscious use</w:t>
      </w:r>
    </w:p>
    <w:p w14:paraId="7983108F"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of self in working with others and in leading or participating in teams</w:t>
      </w:r>
    </w:p>
    <w:p w14:paraId="341F40DA" w14:textId="77777777" w:rsidR="00B3381F" w:rsidRPr="00B3381F" w:rsidRDefault="00B3381F" w:rsidP="00B3381F">
      <w:pPr>
        <w:spacing w:after="160" w:line="256" w:lineRule="auto"/>
        <w:rPr>
          <w:rFonts w:ascii="Calibri" w:eastAsia="Calibri" w:hAnsi="Calibri"/>
          <w:sz w:val="22"/>
          <w:szCs w:val="22"/>
          <w:lang w:eastAsia="en-US"/>
        </w:rPr>
      </w:pPr>
      <w:r w:rsidRPr="00B3381F">
        <w:rPr>
          <w:rFonts w:ascii="Calibri" w:eastAsia="Calibri" w:hAnsi="Calibri"/>
          <w:sz w:val="22"/>
          <w:szCs w:val="22"/>
          <w:lang w:eastAsia="en-US"/>
        </w:rPr>
        <w:t>xii engage in continuous professional development.</w:t>
      </w:r>
    </w:p>
    <w:p w14:paraId="4118EE01" w14:textId="77777777" w:rsidR="00C25C7D" w:rsidRPr="008B4DA8" w:rsidRDefault="00C25C7D" w:rsidP="00360FB0">
      <w:pPr>
        <w:pStyle w:val="Footer"/>
        <w:jc w:val="both"/>
        <w:rPr>
          <w:rFonts w:cs="Arial"/>
          <w:sz w:val="20"/>
        </w:rPr>
        <w:sectPr w:rsidR="00C25C7D" w:rsidRPr="008B4DA8" w:rsidSect="00B3381F">
          <w:type w:val="continuous"/>
          <w:pgSz w:w="16840" w:h="11900" w:orient="landscape"/>
          <w:pgMar w:top="1418" w:right="1418" w:bottom="1418" w:left="1418" w:header="720" w:footer="720" w:gutter="0"/>
          <w:cols w:space="720"/>
        </w:sectPr>
      </w:pPr>
    </w:p>
    <w:p w14:paraId="6FA29BB2" w14:textId="5AE3249A" w:rsidR="00C25C7D" w:rsidRPr="008B4DA8" w:rsidRDefault="00B3381F" w:rsidP="00B3381F">
      <w:pPr>
        <w:pStyle w:val="Heading2"/>
        <w:numPr>
          <w:ilvl w:val="0"/>
          <w:numId w:val="0"/>
        </w:numPr>
        <w:ind w:left="576" w:hanging="576"/>
      </w:pPr>
      <w:r>
        <w:lastRenderedPageBreak/>
        <w:t xml:space="preserve">Appendix 2 </w:t>
      </w:r>
      <w:r w:rsidR="00C25C7D" w:rsidRPr="008B4DA8">
        <w:t xml:space="preserve">Mapping of Modules onto Course Outcomes </w:t>
      </w:r>
    </w:p>
    <w:p w14:paraId="4C3BFE6A" w14:textId="77777777" w:rsidR="00C25C7D" w:rsidRPr="008B4DA8" w:rsidRDefault="00C25C7D" w:rsidP="00360FB0">
      <w:pPr>
        <w:tabs>
          <w:tab w:val="left" w:pos="9923"/>
        </w:tabs>
        <w:jc w:val="both"/>
        <w:rPr>
          <w:rFonts w:cs="Arial"/>
          <w:sz w:val="20"/>
        </w:rPr>
      </w:pPr>
    </w:p>
    <w:p w14:paraId="349C0100" w14:textId="77777777" w:rsidR="00C25C7D" w:rsidRPr="008B4DA8" w:rsidRDefault="00C25C7D" w:rsidP="00360FB0">
      <w:pPr>
        <w:tabs>
          <w:tab w:val="left" w:pos="9923"/>
        </w:tabs>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4471"/>
      </w:tblGrid>
      <w:tr w:rsidR="00C25C7D" w:rsidRPr="008B4DA8" w14:paraId="30F4E3B8" w14:textId="77777777">
        <w:tblPrEx>
          <w:tblCellMar>
            <w:top w:w="0" w:type="dxa"/>
            <w:bottom w:w="0" w:type="dxa"/>
          </w:tblCellMar>
        </w:tblPrEx>
        <w:tc>
          <w:tcPr>
            <w:tcW w:w="4536" w:type="dxa"/>
          </w:tcPr>
          <w:p w14:paraId="5FDF2455" w14:textId="77777777" w:rsidR="00C25C7D" w:rsidRPr="008B4DA8" w:rsidRDefault="00C25C7D" w:rsidP="00360FB0">
            <w:pPr>
              <w:tabs>
                <w:tab w:val="left" w:pos="1560"/>
              </w:tabs>
              <w:jc w:val="both"/>
              <w:rPr>
                <w:rFonts w:cs="Arial"/>
                <w:b/>
                <w:sz w:val="20"/>
              </w:rPr>
            </w:pPr>
            <w:r w:rsidRPr="008B4DA8">
              <w:rPr>
                <w:rFonts w:cs="Arial"/>
                <w:b/>
                <w:sz w:val="20"/>
              </w:rPr>
              <w:t>Course Outcomes</w:t>
            </w:r>
          </w:p>
          <w:p w14:paraId="0E81A7B9" w14:textId="3EFBFE3E" w:rsidR="00C25C7D" w:rsidRPr="008B4DA8" w:rsidRDefault="00C25C7D" w:rsidP="00360FB0">
            <w:pPr>
              <w:tabs>
                <w:tab w:val="left" w:pos="1560"/>
              </w:tabs>
              <w:jc w:val="both"/>
              <w:rPr>
                <w:rFonts w:cs="Arial"/>
                <w:sz w:val="20"/>
              </w:rPr>
            </w:pPr>
            <w:r w:rsidRPr="008B4DA8">
              <w:rPr>
                <w:rFonts w:cs="Arial"/>
                <w:b/>
                <w:sz w:val="20"/>
              </w:rPr>
              <w:t>Knowledge and Understanding:</w:t>
            </w:r>
          </w:p>
        </w:tc>
        <w:tc>
          <w:tcPr>
            <w:tcW w:w="4536" w:type="dxa"/>
          </w:tcPr>
          <w:p w14:paraId="1F0C2BB1" w14:textId="77777777" w:rsidR="00C25C7D" w:rsidRPr="008B4DA8" w:rsidRDefault="00C25C7D" w:rsidP="00360FB0">
            <w:pPr>
              <w:tabs>
                <w:tab w:val="left" w:pos="9923"/>
              </w:tabs>
              <w:jc w:val="both"/>
              <w:rPr>
                <w:rFonts w:cs="Arial"/>
                <w:b/>
                <w:sz w:val="20"/>
              </w:rPr>
            </w:pPr>
            <w:r w:rsidRPr="008B4DA8">
              <w:rPr>
                <w:rFonts w:cs="Arial"/>
                <w:b/>
                <w:sz w:val="20"/>
              </w:rPr>
              <w:t>Modules:</w:t>
            </w:r>
          </w:p>
        </w:tc>
      </w:tr>
      <w:tr w:rsidR="00C25C7D" w:rsidRPr="008B4DA8" w14:paraId="49195A1A" w14:textId="77777777">
        <w:tblPrEx>
          <w:tblCellMar>
            <w:top w:w="0" w:type="dxa"/>
            <w:bottom w:w="0" w:type="dxa"/>
          </w:tblCellMar>
        </w:tblPrEx>
        <w:tc>
          <w:tcPr>
            <w:tcW w:w="4536" w:type="dxa"/>
          </w:tcPr>
          <w:p w14:paraId="3DD0C915" w14:textId="230100CF" w:rsidR="00C25C7D" w:rsidRPr="008B4DA8" w:rsidRDefault="00BC6421" w:rsidP="00360FB0">
            <w:pPr>
              <w:tabs>
                <w:tab w:val="left" w:pos="9923"/>
              </w:tabs>
              <w:jc w:val="both"/>
              <w:rPr>
                <w:rFonts w:cs="Arial"/>
                <w:sz w:val="20"/>
              </w:rPr>
            </w:pPr>
            <w:r>
              <w:rPr>
                <w:rFonts w:cs="Arial"/>
                <w:sz w:val="20"/>
              </w:rPr>
              <w:t xml:space="preserve">CLO1 </w:t>
            </w:r>
            <w:r w:rsidR="00C25C7D" w:rsidRPr="008B4DA8">
              <w:rPr>
                <w:rFonts w:cs="Arial"/>
                <w:sz w:val="20"/>
              </w:rPr>
              <w:t>Knows about and can describe key features and purposes of youth and community work.</w:t>
            </w:r>
          </w:p>
        </w:tc>
        <w:tc>
          <w:tcPr>
            <w:tcW w:w="4536" w:type="dxa"/>
          </w:tcPr>
          <w:p w14:paraId="0DBF1029" w14:textId="77777777" w:rsidR="00C25C7D" w:rsidRPr="008B4DA8" w:rsidRDefault="00C25C7D" w:rsidP="00360FB0">
            <w:pPr>
              <w:tabs>
                <w:tab w:val="left" w:pos="9923"/>
              </w:tabs>
              <w:jc w:val="both"/>
              <w:rPr>
                <w:rFonts w:cs="Arial"/>
                <w:sz w:val="20"/>
              </w:rPr>
            </w:pPr>
            <w:r w:rsidRPr="008B4DA8">
              <w:rPr>
                <w:rFonts w:cs="Arial"/>
                <w:sz w:val="20"/>
              </w:rPr>
              <w:t>Foundations for Practice</w:t>
            </w:r>
          </w:p>
          <w:p w14:paraId="75DBAD16" w14:textId="77777777" w:rsidR="00C25C7D" w:rsidRPr="008B4DA8" w:rsidRDefault="00C25C7D" w:rsidP="00360FB0">
            <w:pPr>
              <w:tabs>
                <w:tab w:val="left" w:pos="9923"/>
              </w:tabs>
              <w:jc w:val="both"/>
              <w:rPr>
                <w:rFonts w:cs="Arial"/>
                <w:sz w:val="20"/>
              </w:rPr>
            </w:pPr>
            <w:r w:rsidRPr="008B4DA8">
              <w:rPr>
                <w:rFonts w:cs="Arial"/>
                <w:sz w:val="20"/>
              </w:rPr>
              <w:t xml:space="preserve">Perspectives on Learning and Development </w:t>
            </w:r>
          </w:p>
          <w:p w14:paraId="078C2E0A" w14:textId="77777777" w:rsidR="00C25C7D" w:rsidRPr="008B4DA8" w:rsidRDefault="00F53E6C" w:rsidP="00360FB0">
            <w:pPr>
              <w:tabs>
                <w:tab w:val="left" w:pos="9923"/>
              </w:tabs>
              <w:jc w:val="both"/>
              <w:rPr>
                <w:rFonts w:cs="Arial"/>
                <w:sz w:val="20"/>
              </w:rPr>
            </w:pPr>
            <w:r>
              <w:rPr>
                <w:rFonts w:cs="Arial"/>
                <w:sz w:val="20"/>
              </w:rPr>
              <w:t>Working in Community Settings</w:t>
            </w:r>
          </w:p>
          <w:p w14:paraId="27CEF1A7" w14:textId="77777777" w:rsidR="00C25C7D" w:rsidRPr="008B4DA8" w:rsidRDefault="00C25C7D" w:rsidP="00360FB0">
            <w:pPr>
              <w:tabs>
                <w:tab w:val="left" w:pos="9923"/>
              </w:tabs>
              <w:jc w:val="both"/>
              <w:rPr>
                <w:rFonts w:cs="Arial"/>
                <w:sz w:val="20"/>
              </w:rPr>
            </w:pPr>
          </w:p>
        </w:tc>
      </w:tr>
      <w:tr w:rsidR="00C25C7D" w:rsidRPr="008B4DA8" w14:paraId="6139E298" w14:textId="77777777">
        <w:tblPrEx>
          <w:tblCellMar>
            <w:top w:w="0" w:type="dxa"/>
            <w:bottom w:w="0" w:type="dxa"/>
          </w:tblCellMar>
        </w:tblPrEx>
        <w:tc>
          <w:tcPr>
            <w:tcW w:w="4536" w:type="dxa"/>
          </w:tcPr>
          <w:p w14:paraId="6CA26764" w14:textId="2AE75198" w:rsidR="00C25C7D" w:rsidRPr="008B4DA8" w:rsidRDefault="00BC6421" w:rsidP="00360FB0">
            <w:pPr>
              <w:pStyle w:val="Footer"/>
              <w:tabs>
                <w:tab w:val="clear" w:pos="4320"/>
                <w:tab w:val="clear" w:pos="8640"/>
              </w:tabs>
              <w:jc w:val="both"/>
              <w:rPr>
                <w:sz w:val="20"/>
              </w:rPr>
            </w:pPr>
            <w:r>
              <w:rPr>
                <w:sz w:val="20"/>
              </w:rPr>
              <w:t xml:space="preserve">CLO2 </w:t>
            </w:r>
            <w:r w:rsidR="00C25C7D" w:rsidRPr="008B4DA8">
              <w:rPr>
                <w:sz w:val="20"/>
              </w:rPr>
              <w:t>Definitions of the term ‘community’.</w:t>
            </w:r>
          </w:p>
          <w:p w14:paraId="2D656044" w14:textId="77777777" w:rsidR="00C25C7D" w:rsidRPr="008B4DA8" w:rsidRDefault="00C25C7D" w:rsidP="00360FB0">
            <w:pPr>
              <w:tabs>
                <w:tab w:val="left" w:pos="9923"/>
              </w:tabs>
              <w:jc w:val="both"/>
              <w:rPr>
                <w:rFonts w:cs="Arial"/>
                <w:sz w:val="20"/>
              </w:rPr>
            </w:pPr>
          </w:p>
        </w:tc>
        <w:tc>
          <w:tcPr>
            <w:tcW w:w="4536" w:type="dxa"/>
          </w:tcPr>
          <w:p w14:paraId="252ACAC6" w14:textId="77777777" w:rsidR="00C25C7D" w:rsidRPr="008B4DA8" w:rsidRDefault="00C25C7D" w:rsidP="00360FB0">
            <w:pPr>
              <w:tabs>
                <w:tab w:val="left" w:pos="9923"/>
              </w:tabs>
              <w:jc w:val="both"/>
              <w:rPr>
                <w:rFonts w:cs="Arial"/>
                <w:sz w:val="20"/>
              </w:rPr>
            </w:pPr>
            <w:r w:rsidRPr="008B4DA8">
              <w:rPr>
                <w:rFonts w:cs="Arial"/>
                <w:sz w:val="20"/>
              </w:rPr>
              <w:t>Self, Society and Welfare</w:t>
            </w:r>
          </w:p>
          <w:p w14:paraId="75B1DF00" w14:textId="77777777" w:rsidR="00C25C7D" w:rsidRDefault="00C25C7D" w:rsidP="00360FB0">
            <w:pPr>
              <w:tabs>
                <w:tab w:val="left" w:pos="9923"/>
              </w:tabs>
              <w:jc w:val="both"/>
              <w:rPr>
                <w:rFonts w:cs="Arial"/>
                <w:sz w:val="20"/>
              </w:rPr>
            </w:pPr>
            <w:r w:rsidRPr="008B4DA8">
              <w:rPr>
                <w:rFonts w:cs="Arial"/>
                <w:sz w:val="20"/>
              </w:rPr>
              <w:t xml:space="preserve">Perspectives on Learning and Development </w:t>
            </w:r>
          </w:p>
          <w:p w14:paraId="43C4F15F" w14:textId="77777777" w:rsidR="00E34896" w:rsidRPr="008B4DA8" w:rsidRDefault="00E34896" w:rsidP="00360FB0">
            <w:pPr>
              <w:tabs>
                <w:tab w:val="left" w:pos="9923"/>
              </w:tabs>
              <w:jc w:val="both"/>
              <w:rPr>
                <w:rFonts w:cs="Arial"/>
                <w:sz w:val="20"/>
              </w:rPr>
            </w:pPr>
            <w:r>
              <w:rPr>
                <w:rFonts w:cs="Arial"/>
                <w:sz w:val="20"/>
              </w:rPr>
              <w:t>Working in Community Settings</w:t>
            </w:r>
          </w:p>
          <w:p w14:paraId="756C926A"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tc>
      </w:tr>
      <w:tr w:rsidR="00C25C7D" w:rsidRPr="008B4DA8" w14:paraId="43B21B0F" w14:textId="77777777">
        <w:tblPrEx>
          <w:tblCellMar>
            <w:top w:w="0" w:type="dxa"/>
            <w:bottom w:w="0" w:type="dxa"/>
          </w:tblCellMar>
        </w:tblPrEx>
        <w:tc>
          <w:tcPr>
            <w:tcW w:w="4536" w:type="dxa"/>
          </w:tcPr>
          <w:p w14:paraId="04B6C541" w14:textId="4FB7563D" w:rsidR="00C25C7D" w:rsidRPr="008B4DA8" w:rsidRDefault="00BC6421" w:rsidP="00360FB0">
            <w:pPr>
              <w:ind w:left="34"/>
              <w:jc w:val="both"/>
              <w:rPr>
                <w:sz w:val="20"/>
              </w:rPr>
            </w:pPr>
            <w:r>
              <w:rPr>
                <w:sz w:val="20"/>
              </w:rPr>
              <w:t xml:space="preserve">CLO3 </w:t>
            </w:r>
            <w:r w:rsidR="00C25C7D" w:rsidRPr="008B4DA8">
              <w:rPr>
                <w:sz w:val="20"/>
              </w:rPr>
              <w:t>The function of reflective practice and the experiential learning cycle.</w:t>
            </w:r>
          </w:p>
          <w:p w14:paraId="72B9EE88" w14:textId="77777777" w:rsidR="00C25C7D" w:rsidRPr="008B4DA8" w:rsidRDefault="00C25C7D" w:rsidP="00360FB0">
            <w:pPr>
              <w:ind w:left="34"/>
              <w:jc w:val="both"/>
              <w:rPr>
                <w:rFonts w:cs="Arial"/>
                <w:sz w:val="20"/>
              </w:rPr>
            </w:pPr>
          </w:p>
        </w:tc>
        <w:tc>
          <w:tcPr>
            <w:tcW w:w="4536" w:type="dxa"/>
          </w:tcPr>
          <w:p w14:paraId="6200BFC8" w14:textId="77777777" w:rsidR="00345BB3" w:rsidRPr="008B4DA8" w:rsidRDefault="00C24239" w:rsidP="00360FB0">
            <w:pPr>
              <w:tabs>
                <w:tab w:val="left" w:pos="9923"/>
              </w:tabs>
              <w:jc w:val="both"/>
              <w:rPr>
                <w:rFonts w:cs="Arial"/>
                <w:sz w:val="20"/>
              </w:rPr>
            </w:pPr>
            <w:r>
              <w:rPr>
                <w:rFonts w:cs="Arial"/>
                <w:sz w:val="20"/>
              </w:rPr>
              <w:t>All practice-</w:t>
            </w:r>
            <w:r w:rsidR="00345BB3" w:rsidRPr="008B4DA8">
              <w:rPr>
                <w:rFonts w:cs="Arial"/>
                <w:sz w:val="20"/>
              </w:rPr>
              <w:t>based modules</w:t>
            </w:r>
          </w:p>
          <w:p w14:paraId="51CA368B" w14:textId="77777777" w:rsidR="00C25C7D" w:rsidRPr="008B4DA8" w:rsidRDefault="00BF41C3" w:rsidP="00360FB0">
            <w:pPr>
              <w:tabs>
                <w:tab w:val="left" w:pos="9923"/>
              </w:tabs>
              <w:jc w:val="both"/>
              <w:rPr>
                <w:rFonts w:cs="Arial"/>
                <w:sz w:val="20"/>
              </w:rPr>
            </w:pPr>
            <w:r>
              <w:rPr>
                <w:rFonts w:cs="Arial"/>
                <w:sz w:val="20"/>
              </w:rPr>
              <w:t>Theories and Strategies for Learning</w:t>
            </w:r>
            <w:r w:rsidR="00C25C7D" w:rsidRPr="008B4DA8">
              <w:rPr>
                <w:rFonts w:cs="Arial"/>
                <w:sz w:val="20"/>
              </w:rPr>
              <w:t xml:space="preserve"> </w:t>
            </w:r>
          </w:p>
          <w:p w14:paraId="559B58FF" w14:textId="77777777" w:rsidR="00C25C7D" w:rsidRPr="008B4DA8" w:rsidRDefault="00C25C7D" w:rsidP="00360FB0">
            <w:pPr>
              <w:tabs>
                <w:tab w:val="left" w:pos="9923"/>
              </w:tabs>
              <w:jc w:val="both"/>
              <w:rPr>
                <w:rFonts w:cs="Arial"/>
                <w:sz w:val="20"/>
              </w:rPr>
            </w:pPr>
          </w:p>
        </w:tc>
      </w:tr>
      <w:tr w:rsidR="00C25C7D" w:rsidRPr="008B4DA8" w14:paraId="4A952277" w14:textId="77777777">
        <w:tblPrEx>
          <w:tblCellMar>
            <w:top w:w="0" w:type="dxa"/>
            <w:bottom w:w="0" w:type="dxa"/>
          </w:tblCellMar>
        </w:tblPrEx>
        <w:tc>
          <w:tcPr>
            <w:tcW w:w="4536" w:type="dxa"/>
          </w:tcPr>
          <w:p w14:paraId="22C4E1EC" w14:textId="3BAD5901" w:rsidR="00C25C7D" w:rsidRPr="008B4DA8" w:rsidRDefault="00BC6421" w:rsidP="00360FB0">
            <w:pPr>
              <w:ind w:left="34"/>
              <w:jc w:val="both"/>
              <w:rPr>
                <w:sz w:val="20"/>
              </w:rPr>
            </w:pPr>
            <w:r>
              <w:rPr>
                <w:sz w:val="20"/>
              </w:rPr>
              <w:t xml:space="preserve">CLO4 </w:t>
            </w:r>
            <w:r w:rsidR="00C25C7D" w:rsidRPr="008B4DA8">
              <w:rPr>
                <w:sz w:val="20"/>
              </w:rPr>
              <w:t>The role of the professional worker in youth and community work.</w:t>
            </w:r>
          </w:p>
          <w:p w14:paraId="761BDB8B" w14:textId="77777777" w:rsidR="00C25C7D" w:rsidRPr="008B4DA8" w:rsidRDefault="00C25C7D" w:rsidP="00360FB0">
            <w:pPr>
              <w:tabs>
                <w:tab w:val="left" w:pos="9923"/>
              </w:tabs>
              <w:ind w:left="34"/>
              <w:jc w:val="both"/>
              <w:rPr>
                <w:rFonts w:cs="Arial"/>
                <w:sz w:val="20"/>
              </w:rPr>
            </w:pPr>
          </w:p>
        </w:tc>
        <w:tc>
          <w:tcPr>
            <w:tcW w:w="4536" w:type="dxa"/>
          </w:tcPr>
          <w:p w14:paraId="25C26845" w14:textId="77777777" w:rsidR="00345BB3" w:rsidRPr="008B4DA8" w:rsidRDefault="00C24239" w:rsidP="00360FB0">
            <w:pPr>
              <w:tabs>
                <w:tab w:val="left" w:pos="9923"/>
              </w:tabs>
              <w:jc w:val="both"/>
              <w:rPr>
                <w:rFonts w:cs="Arial"/>
                <w:sz w:val="20"/>
              </w:rPr>
            </w:pPr>
            <w:r>
              <w:rPr>
                <w:rFonts w:cs="Arial"/>
                <w:sz w:val="20"/>
              </w:rPr>
              <w:t>All practice-</w:t>
            </w:r>
            <w:r w:rsidR="00345BB3" w:rsidRPr="008B4DA8">
              <w:rPr>
                <w:rFonts w:cs="Arial"/>
                <w:sz w:val="20"/>
              </w:rPr>
              <w:t>based modules</w:t>
            </w:r>
          </w:p>
          <w:p w14:paraId="2E26F3D0"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p w14:paraId="276436C0" w14:textId="77777777" w:rsidR="00C25C7D" w:rsidRPr="008B4DA8" w:rsidRDefault="00C25C7D" w:rsidP="00360FB0">
            <w:pPr>
              <w:tabs>
                <w:tab w:val="left" w:pos="9923"/>
              </w:tabs>
              <w:jc w:val="both"/>
              <w:rPr>
                <w:rFonts w:cs="Arial"/>
                <w:sz w:val="20"/>
              </w:rPr>
            </w:pPr>
            <w:r w:rsidRPr="008B4DA8">
              <w:rPr>
                <w:rFonts w:cs="Arial"/>
                <w:sz w:val="20"/>
              </w:rPr>
              <w:t>Leadership and Management in Professional Contexts</w:t>
            </w:r>
          </w:p>
        </w:tc>
      </w:tr>
      <w:tr w:rsidR="00C25C7D" w:rsidRPr="008B4DA8" w14:paraId="55C841AA" w14:textId="77777777">
        <w:tblPrEx>
          <w:tblCellMar>
            <w:top w:w="0" w:type="dxa"/>
            <w:bottom w:w="0" w:type="dxa"/>
          </w:tblCellMar>
        </w:tblPrEx>
        <w:tc>
          <w:tcPr>
            <w:tcW w:w="4536" w:type="dxa"/>
          </w:tcPr>
          <w:p w14:paraId="56580A58" w14:textId="6025D8C8" w:rsidR="00C25C7D" w:rsidRPr="008B4DA8" w:rsidRDefault="00BC6421" w:rsidP="00BC6421">
            <w:pPr>
              <w:jc w:val="both"/>
              <w:rPr>
                <w:sz w:val="20"/>
              </w:rPr>
            </w:pPr>
            <w:r>
              <w:rPr>
                <w:sz w:val="20"/>
              </w:rPr>
              <w:t xml:space="preserve">CLO5 </w:t>
            </w:r>
            <w:r w:rsidR="00C25C7D" w:rsidRPr="008B4DA8">
              <w:rPr>
                <w:sz w:val="20"/>
              </w:rPr>
              <w:t>The management, organisation and administration of youth and community work.</w:t>
            </w:r>
          </w:p>
          <w:p w14:paraId="0A91A704" w14:textId="77777777" w:rsidR="00C25C7D" w:rsidRPr="008B4DA8" w:rsidRDefault="00C25C7D" w:rsidP="00360FB0">
            <w:pPr>
              <w:tabs>
                <w:tab w:val="left" w:pos="9923"/>
              </w:tabs>
              <w:ind w:left="-108"/>
              <w:jc w:val="both"/>
              <w:rPr>
                <w:rFonts w:cs="Arial"/>
                <w:sz w:val="20"/>
              </w:rPr>
            </w:pPr>
          </w:p>
        </w:tc>
        <w:tc>
          <w:tcPr>
            <w:tcW w:w="4536" w:type="dxa"/>
          </w:tcPr>
          <w:p w14:paraId="10C0FE27" w14:textId="77777777" w:rsidR="00C25C7D" w:rsidRPr="008B4DA8" w:rsidRDefault="00C25C7D" w:rsidP="00360FB0">
            <w:pPr>
              <w:tabs>
                <w:tab w:val="left" w:pos="9923"/>
              </w:tabs>
              <w:jc w:val="both"/>
              <w:rPr>
                <w:rFonts w:cs="Arial"/>
                <w:sz w:val="20"/>
              </w:rPr>
            </w:pPr>
            <w:r w:rsidRPr="008B4DA8">
              <w:rPr>
                <w:rFonts w:cs="Arial"/>
                <w:sz w:val="20"/>
              </w:rPr>
              <w:t>Leadership and Management in Professional Contexts</w:t>
            </w:r>
          </w:p>
          <w:p w14:paraId="56E2CC66" w14:textId="77777777" w:rsidR="00C25C7D" w:rsidRPr="008B4DA8" w:rsidRDefault="00C25C7D" w:rsidP="00360FB0">
            <w:pPr>
              <w:tabs>
                <w:tab w:val="left" w:pos="9923"/>
              </w:tabs>
              <w:jc w:val="both"/>
              <w:rPr>
                <w:rFonts w:cs="Arial"/>
                <w:sz w:val="20"/>
              </w:rPr>
            </w:pPr>
            <w:r w:rsidRPr="008B4DA8">
              <w:rPr>
                <w:rFonts w:cs="Arial"/>
                <w:sz w:val="20"/>
              </w:rPr>
              <w:t xml:space="preserve">Theorising </w:t>
            </w:r>
            <w:r w:rsidR="00E34896">
              <w:rPr>
                <w:rFonts w:cs="Arial"/>
                <w:sz w:val="20"/>
              </w:rPr>
              <w:t xml:space="preserve">for </w:t>
            </w:r>
            <w:r w:rsidRPr="008B4DA8">
              <w:rPr>
                <w:rFonts w:cs="Arial"/>
                <w:sz w:val="20"/>
              </w:rPr>
              <w:t>Advanced Pract</w:t>
            </w:r>
            <w:r w:rsidR="00E34896">
              <w:rPr>
                <w:rFonts w:cs="Arial"/>
                <w:sz w:val="20"/>
              </w:rPr>
              <w:t>itioners</w:t>
            </w:r>
            <w:r w:rsidRPr="008B4DA8">
              <w:rPr>
                <w:rFonts w:cs="Arial"/>
                <w:sz w:val="20"/>
              </w:rPr>
              <w:t xml:space="preserve"> </w:t>
            </w:r>
          </w:p>
        </w:tc>
      </w:tr>
      <w:tr w:rsidR="00C25C7D" w:rsidRPr="008B4DA8" w14:paraId="0DE8DA55" w14:textId="77777777">
        <w:tblPrEx>
          <w:tblCellMar>
            <w:top w:w="0" w:type="dxa"/>
            <w:bottom w:w="0" w:type="dxa"/>
          </w:tblCellMar>
        </w:tblPrEx>
        <w:tc>
          <w:tcPr>
            <w:tcW w:w="4536" w:type="dxa"/>
          </w:tcPr>
          <w:p w14:paraId="7E8C0413" w14:textId="4124952C" w:rsidR="00C25C7D" w:rsidRPr="008B4DA8" w:rsidRDefault="00BC6421" w:rsidP="00BC6421">
            <w:pPr>
              <w:jc w:val="both"/>
              <w:rPr>
                <w:sz w:val="20"/>
              </w:rPr>
            </w:pPr>
            <w:r>
              <w:rPr>
                <w:sz w:val="20"/>
              </w:rPr>
              <w:t xml:space="preserve">CLO6 </w:t>
            </w:r>
            <w:r w:rsidR="00C25C7D" w:rsidRPr="008B4DA8">
              <w:rPr>
                <w:sz w:val="20"/>
              </w:rPr>
              <w:t>The processes by which youth and community work can be monitored and evaluated</w:t>
            </w:r>
          </w:p>
          <w:p w14:paraId="5C854DA1" w14:textId="77777777" w:rsidR="00C25C7D" w:rsidRPr="008B4DA8" w:rsidRDefault="00C25C7D" w:rsidP="00360FB0">
            <w:pPr>
              <w:tabs>
                <w:tab w:val="left" w:pos="9923"/>
              </w:tabs>
              <w:ind w:left="-108"/>
              <w:jc w:val="both"/>
              <w:rPr>
                <w:rFonts w:cs="Arial"/>
                <w:sz w:val="20"/>
              </w:rPr>
            </w:pPr>
          </w:p>
        </w:tc>
        <w:tc>
          <w:tcPr>
            <w:tcW w:w="4536" w:type="dxa"/>
          </w:tcPr>
          <w:p w14:paraId="00FFF5BB" w14:textId="77777777" w:rsidR="00C25C7D" w:rsidRPr="008B4DA8" w:rsidRDefault="00C25C7D" w:rsidP="00360FB0">
            <w:pPr>
              <w:tabs>
                <w:tab w:val="left" w:pos="9923"/>
              </w:tabs>
              <w:jc w:val="both"/>
              <w:rPr>
                <w:rFonts w:cs="Arial"/>
                <w:sz w:val="20"/>
              </w:rPr>
            </w:pPr>
            <w:r w:rsidRPr="008B4DA8">
              <w:rPr>
                <w:rFonts w:cs="Arial"/>
                <w:sz w:val="20"/>
              </w:rPr>
              <w:t>Leadership and Management in Professional Contexts</w:t>
            </w:r>
          </w:p>
          <w:p w14:paraId="7682AB0C" w14:textId="77777777" w:rsidR="00C25C7D" w:rsidRPr="008B4DA8" w:rsidRDefault="00C25C7D" w:rsidP="00360FB0">
            <w:pPr>
              <w:tabs>
                <w:tab w:val="left" w:pos="9923"/>
              </w:tabs>
              <w:jc w:val="both"/>
              <w:rPr>
                <w:rFonts w:cs="Arial"/>
                <w:sz w:val="20"/>
              </w:rPr>
            </w:pPr>
            <w:r w:rsidRPr="008B4DA8">
              <w:rPr>
                <w:rFonts w:cs="Arial"/>
                <w:sz w:val="20"/>
              </w:rPr>
              <w:t xml:space="preserve">All </w:t>
            </w:r>
            <w:r w:rsidR="00C74C4C">
              <w:rPr>
                <w:rFonts w:cs="Arial"/>
                <w:sz w:val="20"/>
              </w:rPr>
              <w:t>practice-based</w:t>
            </w:r>
            <w:r w:rsidRPr="008B4DA8">
              <w:rPr>
                <w:rFonts w:cs="Arial"/>
                <w:sz w:val="20"/>
              </w:rPr>
              <w:t xml:space="preserve"> modules</w:t>
            </w:r>
          </w:p>
        </w:tc>
      </w:tr>
      <w:tr w:rsidR="00C25C7D" w:rsidRPr="008B4DA8" w14:paraId="6E5E1307" w14:textId="77777777">
        <w:tblPrEx>
          <w:tblCellMar>
            <w:top w:w="0" w:type="dxa"/>
            <w:bottom w:w="0" w:type="dxa"/>
          </w:tblCellMar>
        </w:tblPrEx>
        <w:tc>
          <w:tcPr>
            <w:tcW w:w="4536" w:type="dxa"/>
          </w:tcPr>
          <w:p w14:paraId="390CAE58" w14:textId="3B64702B" w:rsidR="00C25C7D" w:rsidRPr="008B4DA8" w:rsidRDefault="00BC6421" w:rsidP="00BC6421">
            <w:pPr>
              <w:jc w:val="both"/>
              <w:rPr>
                <w:sz w:val="20"/>
              </w:rPr>
            </w:pPr>
            <w:r>
              <w:rPr>
                <w:sz w:val="20"/>
              </w:rPr>
              <w:t xml:space="preserve">CLO7 </w:t>
            </w:r>
            <w:r w:rsidR="00C25C7D" w:rsidRPr="008B4DA8">
              <w:rPr>
                <w:sz w:val="20"/>
              </w:rPr>
              <w:t>The history and development of youth and community work and understands its relevance.</w:t>
            </w:r>
          </w:p>
          <w:p w14:paraId="36893A0A" w14:textId="77777777" w:rsidR="00C25C7D" w:rsidRPr="008B4DA8" w:rsidRDefault="00C25C7D" w:rsidP="00360FB0">
            <w:pPr>
              <w:tabs>
                <w:tab w:val="left" w:pos="9923"/>
              </w:tabs>
              <w:ind w:left="-108"/>
              <w:jc w:val="both"/>
              <w:rPr>
                <w:rFonts w:cs="Arial"/>
                <w:sz w:val="20"/>
              </w:rPr>
            </w:pPr>
          </w:p>
        </w:tc>
        <w:tc>
          <w:tcPr>
            <w:tcW w:w="4536" w:type="dxa"/>
          </w:tcPr>
          <w:p w14:paraId="498463D4" w14:textId="77777777" w:rsidR="00C25C7D" w:rsidRPr="008B4DA8" w:rsidRDefault="00345BB3" w:rsidP="00360FB0">
            <w:pPr>
              <w:tabs>
                <w:tab w:val="left" w:pos="9923"/>
              </w:tabs>
              <w:jc w:val="both"/>
              <w:rPr>
                <w:rFonts w:cs="Arial"/>
                <w:sz w:val="20"/>
              </w:rPr>
            </w:pPr>
            <w:r>
              <w:rPr>
                <w:rFonts w:cs="Arial"/>
                <w:sz w:val="20"/>
              </w:rPr>
              <w:t>Theories and Strategies for Learning</w:t>
            </w:r>
          </w:p>
          <w:p w14:paraId="76F69FD1" w14:textId="77777777" w:rsidR="00C25C7D" w:rsidRPr="008B4DA8" w:rsidRDefault="00A363CE" w:rsidP="00360FB0">
            <w:pPr>
              <w:tabs>
                <w:tab w:val="left" w:pos="9923"/>
              </w:tabs>
              <w:jc w:val="both"/>
              <w:rPr>
                <w:rFonts w:cs="Arial"/>
                <w:sz w:val="20"/>
              </w:rPr>
            </w:pPr>
            <w:r>
              <w:rPr>
                <w:sz w:val="20"/>
              </w:rPr>
              <w:t>Social Policy and Inclusion</w:t>
            </w:r>
            <w:r w:rsidR="00C25C7D" w:rsidRPr="008B4DA8">
              <w:rPr>
                <w:sz w:val="20"/>
              </w:rPr>
              <w:t xml:space="preserve"> </w:t>
            </w:r>
          </w:p>
        </w:tc>
      </w:tr>
      <w:tr w:rsidR="00C25C7D" w:rsidRPr="008B4DA8" w14:paraId="7E2596BE" w14:textId="77777777">
        <w:tblPrEx>
          <w:tblCellMar>
            <w:top w:w="0" w:type="dxa"/>
            <w:bottom w:w="0" w:type="dxa"/>
          </w:tblCellMar>
        </w:tblPrEx>
        <w:tc>
          <w:tcPr>
            <w:tcW w:w="4536" w:type="dxa"/>
          </w:tcPr>
          <w:p w14:paraId="2A0CE85C" w14:textId="53F1B9EF" w:rsidR="00C25C7D" w:rsidRPr="008B4DA8" w:rsidRDefault="00BC6421" w:rsidP="00BC6421">
            <w:pPr>
              <w:jc w:val="both"/>
              <w:rPr>
                <w:sz w:val="20"/>
              </w:rPr>
            </w:pPr>
            <w:r>
              <w:rPr>
                <w:sz w:val="20"/>
              </w:rPr>
              <w:t xml:space="preserve">CLO8 </w:t>
            </w:r>
            <w:r w:rsidR="00C25C7D" w:rsidRPr="008B4DA8">
              <w:rPr>
                <w:sz w:val="20"/>
              </w:rPr>
              <w:t>Key legislation relating to young people and youth and community work, understands its relevance and applies aspects in practice.</w:t>
            </w:r>
          </w:p>
          <w:p w14:paraId="4C3ACBCA" w14:textId="77777777" w:rsidR="00C25C7D" w:rsidRPr="008B4DA8" w:rsidRDefault="00C25C7D" w:rsidP="00360FB0">
            <w:pPr>
              <w:tabs>
                <w:tab w:val="left" w:pos="9923"/>
              </w:tabs>
              <w:ind w:left="-108"/>
              <w:jc w:val="both"/>
              <w:rPr>
                <w:rFonts w:cs="Arial"/>
                <w:sz w:val="20"/>
              </w:rPr>
            </w:pPr>
          </w:p>
        </w:tc>
        <w:tc>
          <w:tcPr>
            <w:tcW w:w="4536" w:type="dxa"/>
          </w:tcPr>
          <w:p w14:paraId="06A8F155" w14:textId="77777777" w:rsidR="00C25C7D" w:rsidRPr="008B4DA8" w:rsidRDefault="00345BB3" w:rsidP="00360FB0">
            <w:pPr>
              <w:tabs>
                <w:tab w:val="left" w:pos="9923"/>
              </w:tabs>
              <w:jc w:val="both"/>
              <w:rPr>
                <w:rFonts w:cs="Arial"/>
                <w:sz w:val="20"/>
              </w:rPr>
            </w:pPr>
            <w:r>
              <w:rPr>
                <w:rFonts w:cs="Arial"/>
                <w:sz w:val="20"/>
              </w:rPr>
              <w:t>All Practice based modules</w:t>
            </w:r>
          </w:p>
          <w:p w14:paraId="1A3F0167" w14:textId="77777777" w:rsidR="00C25C7D" w:rsidRPr="008B4DA8" w:rsidRDefault="00C25C7D" w:rsidP="00360FB0">
            <w:pPr>
              <w:tabs>
                <w:tab w:val="left" w:pos="9923"/>
              </w:tabs>
              <w:jc w:val="both"/>
              <w:rPr>
                <w:rFonts w:cs="Arial"/>
                <w:sz w:val="20"/>
              </w:rPr>
            </w:pPr>
            <w:r w:rsidRPr="008B4DA8">
              <w:rPr>
                <w:rFonts w:cs="Arial"/>
                <w:sz w:val="20"/>
              </w:rPr>
              <w:t xml:space="preserve">Perspectives on Learning and Development  </w:t>
            </w:r>
          </w:p>
        </w:tc>
      </w:tr>
      <w:tr w:rsidR="00C25C7D" w:rsidRPr="008B4DA8" w14:paraId="0F95ACC4" w14:textId="77777777">
        <w:tblPrEx>
          <w:tblCellMar>
            <w:top w:w="0" w:type="dxa"/>
            <w:bottom w:w="0" w:type="dxa"/>
          </w:tblCellMar>
        </w:tblPrEx>
        <w:tc>
          <w:tcPr>
            <w:tcW w:w="4536" w:type="dxa"/>
          </w:tcPr>
          <w:p w14:paraId="0314FE6C" w14:textId="66DE3C30" w:rsidR="00C25C7D" w:rsidRPr="008B4DA8" w:rsidRDefault="00BC6421" w:rsidP="00BC6421">
            <w:pPr>
              <w:jc w:val="both"/>
              <w:rPr>
                <w:sz w:val="20"/>
              </w:rPr>
            </w:pPr>
            <w:r>
              <w:rPr>
                <w:sz w:val="20"/>
              </w:rPr>
              <w:t xml:space="preserve">CLO9 </w:t>
            </w:r>
            <w:r w:rsidR="00C25C7D" w:rsidRPr="008B4DA8">
              <w:rPr>
                <w:sz w:val="20"/>
              </w:rPr>
              <w:t>Theories and principles underpinning youth work practice.</w:t>
            </w:r>
          </w:p>
          <w:p w14:paraId="57713167" w14:textId="77777777" w:rsidR="00C25C7D" w:rsidRPr="008B4DA8" w:rsidRDefault="00C25C7D" w:rsidP="00360FB0">
            <w:pPr>
              <w:tabs>
                <w:tab w:val="left" w:pos="9923"/>
              </w:tabs>
              <w:ind w:left="-108"/>
              <w:jc w:val="both"/>
              <w:rPr>
                <w:rFonts w:cs="Arial"/>
                <w:sz w:val="20"/>
              </w:rPr>
            </w:pPr>
          </w:p>
        </w:tc>
        <w:tc>
          <w:tcPr>
            <w:tcW w:w="4536" w:type="dxa"/>
          </w:tcPr>
          <w:p w14:paraId="2C8110CB" w14:textId="77777777" w:rsidR="00C25C7D" w:rsidRPr="008B4DA8" w:rsidRDefault="00BF41C3" w:rsidP="00360FB0">
            <w:pPr>
              <w:tabs>
                <w:tab w:val="left" w:pos="9923"/>
              </w:tabs>
              <w:jc w:val="both"/>
              <w:rPr>
                <w:rFonts w:cs="Arial"/>
                <w:sz w:val="20"/>
              </w:rPr>
            </w:pPr>
            <w:r>
              <w:rPr>
                <w:rFonts w:cs="Arial"/>
                <w:sz w:val="20"/>
              </w:rPr>
              <w:t>Theories and Strategies for Learning</w:t>
            </w:r>
            <w:r w:rsidR="00C25C7D" w:rsidRPr="008B4DA8">
              <w:rPr>
                <w:rFonts w:cs="Arial"/>
                <w:sz w:val="20"/>
              </w:rPr>
              <w:t xml:space="preserve"> </w:t>
            </w:r>
          </w:p>
          <w:p w14:paraId="6E6DF417" w14:textId="77777777" w:rsidR="00C25C7D" w:rsidRPr="008B4DA8" w:rsidRDefault="00C25C7D" w:rsidP="00360FB0">
            <w:pPr>
              <w:tabs>
                <w:tab w:val="left" w:pos="9923"/>
              </w:tabs>
              <w:jc w:val="both"/>
              <w:rPr>
                <w:rFonts w:cs="Arial"/>
                <w:sz w:val="20"/>
              </w:rPr>
            </w:pPr>
            <w:r w:rsidRPr="008B4DA8">
              <w:rPr>
                <w:rFonts w:cs="Arial"/>
                <w:sz w:val="20"/>
              </w:rPr>
              <w:t>All Practice based modules</w:t>
            </w:r>
          </w:p>
          <w:p w14:paraId="0B3A06FA" w14:textId="77777777" w:rsidR="00C25C7D" w:rsidRPr="008B4DA8" w:rsidRDefault="00C25C7D" w:rsidP="00360FB0">
            <w:pPr>
              <w:tabs>
                <w:tab w:val="left" w:pos="9923"/>
              </w:tabs>
              <w:jc w:val="both"/>
              <w:rPr>
                <w:rFonts w:cs="Arial"/>
                <w:sz w:val="20"/>
              </w:rPr>
            </w:pPr>
            <w:r w:rsidRPr="008B4DA8">
              <w:rPr>
                <w:rFonts w:cs="Arial"/>
                <w:sz w:val="20"/>
              </w:rPr>
              <w:t>Major Study</w:t>
            </w:r>
          </w:p>
          <w:p w14:paraId="4C2A5898"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tc>
      </w:tr>
      <w:tr w:rsidR="00C25C7D" w:rsidRPr="008B4DA8" w14:paraId="6AA88EFD" w14:textId="77777777">
        <w:tblPrEx>
          <w:tblCellMar>
            <w:top w:w="0" w:type="dxa"/>
            <w:bottom w:w="0" w:type="dxa"/>
          </w:tblCellMar>
        </w:tblPrEx>
        <w:tc>
          <w:tcPr>
            <w:tcW w:w="4536" w:type="dxa"/>
          </w:tcPr>
          <w:p w14:paraId="7C11A41B" w14:textId="11196768" w:rsidR="00C25C7D" w:rsidRPr="008B4DA8" w:rsidRDefault="00BC6421" w:rsidP="00BC6421">
            <w:pPr>
              <w:jc w:val="both"/>
              <w:rPr>
                <w:sz w:val="20"/>
              </w:rPr>
            </w:pPr>
            <w:r>
              <w:rPr>
                <w:sz w:val="20"/>
              </w:rPr>
              <w:t xml:space="preserve">CLO10 </w:t>
            </w:r>
            <w:r w:rsidR="00C25C7D" w:rsidRPr="008B4DA8">
              <w:rPr>
                <w:sz w:val="20"/>
              </w:rPr>
              <w:t>Theories of adolescence and development.</w:t>
            </w:r>
          </w:p>
          <w:p w14:paraId="4BD195E5" w14:textId="77777777" w:rsidR="00C25C7D" w:rsidRPr="008B4DA8" w:rsidRDefault="00C25C7D" w:rsidP="00360FB0">
            <w:pPr>
              <w:tabs>
                <w:tab w:val="left" w:pos="9923"/>
              </w:tabs>
              <w:ind w:left="-108"/>
              <w:jc w:val="both"/>
              <w:rPr>
                <w:rFonts w:cs="Arial"/>
                <w:sz w:val="20"/>
              </w:rPr>
            </w:pPr>
          </w:p>
        </w:tc>
        <w:tc>
          <w:tcPr>
            <w:tcW w:w="4536" w:type="dxa"/>
          </w:tcPr>
          <w:p w14:paraId="42705639" w14:textId="77777777" w:rsidR="00C25C7D" w:rsidRPr="008B4DA8" w:rsidRDefault="00C25C7D" w:rsidP="00360FB0">
            <w:pPr>
              <w:tabs>
                <w:tab w:val="left" w:pos="9923"/>
              </w:tabs>
              <w:jc w:val="both"/>
              <w:rPr>
                <w:rFonts w:cs="Arial"/>
                <w:sz w:val="20"/>
              </w:rPr>
            </w:pPr>
            <w:r w:rsidRPr="008B4DA8">
              <w:rPr>
                <w:rFonts w:cs="Arial"/>
                <w:sz w:val="20"/>
              </w:rPr>
              <w:t xml:space="preserve">Perspectives on Learning and Development </w:t>
            </w:r>
          </w:p>
        </w:tc>
      </w:tr>
      <w:tr w:rsidR="00C25C7D" w:rsidRPr="008B4DA8" w14:paraId="4EF380F6" w14:textId="77777777">
        <w:tblPrEx>
          <w:tblCellMar>
            <w:top w:w="0" w:type="dxa"/>
            <w:bottom w:w="0" w:type="dxa"/>
          </w:tblCellMar>
        </w:tblPrEx>
        <w:tc>
          <w:tcPr>
            <w:tcW w:w="4536" w:type="dxa"/>
          </w:tcPr>
          <w:p w14:paraId="5F826849" w14:textId="16FB61F4" w:rsidR="00C25C7D" w:rsidRPr="008B4DA8" w:rsidRDefault="00BC6421" w:rsidP="00BC6421">
            <w:pPr>
              <w:tabs>
                <w:tab w:val="left" w:pos="1560"/>
              </w:tabs>
              <w:jc w:val="both"/>
              <w:rPr>
                <w:sz w:val="20"/>
              </w:rPr>
            </w:pPr>
            <w:r>
              <w:rPr>
                <w:sz w:val="20"/>
              </w:rPr>
              <w:t xml:space="preserve">CLO11 </w:t>
            </w:r>
            <w:r w:rsidR="00C25C7D" w:rsidRPr="008B4DA8">
              <w:rPr>
                <w:sz w:val="20"/>
              </w:rPr>
              <w:t>Understands relevant ethical frameworks.</w:t>
            </w:r>
          </w:p>
          <w:p w14:paraId="28E79356" w14:textId="77777777" w:rsidR="00C25C7D" w:rsidRPr="008B4DA8" w:rsidRDefault="00C25C7D" w:rsidP="00360FB0">
            <w:pPr>
              <w:tabs>
                <w:tab w:val="left" w:pos="9923"/>
              </w:tabs>
              <w:ind w:left="-108"/>
              <w:jc w:val="both"/>
              <w:rPr>
                <w:rFonts w:cs="Arial"/>
                <w:sz w:val="20"/>
              </w:rPr>
            </w:pPr>
          </w:p>
        </w:tc>
        <w:tc>
          <w:tcPr>
            <w:tcW w:w="4536" w:type="dxa"/>
          </w:tcPr>
          <w:p w14:paraId="570C0369" w14:textId="77777777" w:rsidR="00C25C7D" w:rsidRPr="008B4DA8" w:rsidRDefault="00C25C7D" w:rsidP="00360FB0">
            <w:pPr>
              <w:tabs>
                <w:tab w:val="left" w:pos="9923"/>
              </w:tabs>
              <w:jc w:val="both"/>
              <w:rPr>
                <w:rFonts w:cs="Arial"/>
                <w:sz w:val="20"/>
              </w:rPr>
            </w:pPr>
            <w:r w:rsidRPr="008B4DA8">
              <w:rPr>
                <w:rFonts w:cs="Arial"/>
                <w:sz w:val="20"/>
              </w:rPr>
              <w:t xml:space="preserve">All </w:t>
            </w:r>
            <w:r w:rsidR="00C74C4C">
              <w:rPr>
                <w:rFonts w:cs="Arial"/>
                <w:sz w:val="20"/>
              </w:rPr>
              <w:t>p</w:t>
            </w:r>
            <w:r w:rsidR="00C74C4C" w:rsidRPr="008B4DA8">
              <w:rPr>
                <w:rFonts w:cs="Arial"/>
                <w:sz w:val="20"/>
              </w:rPr>
              <w:t>ractice</w:t>
            </w:r>
            <w:r w:rsidR="00C24239">
              <w:rPr>
                <w:rFonts w:cs="Arial"/>
                <w:sz w:val="20"/>
              </w:rPr>
              <w:t>-</w:t>
            </w:r>
            <w:r w:rsidRPr="008B4DA8">
              <w:rPr>
                <w:rFonts w:cs="Arial"/>
                <w:sz w:val="20"/>
              </w:rPr>
              <w:t>based modules</w:t>
            </w:r>
          </w:p>
          <w:p w14:paraId="02EBC3B1"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p w14:paraId="29BF0A09" w14:textId="77777777" w:rsidR="00C25C7D" w:rsidRPr="008B4DA8" w:rsidRDefault="00C25C7D" w:rsidP="00360FB0">
            <w:pPr>
              <w:tabs>
                <w:tab w:val="left" w:pos="9923"/>
              </w:tabs>
              <w:jc w:val="both"/>
              <w:rPr>
                <w:rFonts w:cs="Arial"/>
                <w:sz w:val="20"/>
              </w:rPr>
            </w:pPr>
            <w:r w:rsidRPr="008B4DA8">
              <w:rPr>
                <w:rFonts w:cs="Arial"/>
                <w:sz w:val="20"/>
              </w:rPr>
              <w:t>Research Methodologies</w:t>
            </w:r>
          </w:p>
          <w:p w14:paraId="20F0BF9C" w14:textId="77777777" w:rsidR="00C25C7D" w:rsidRPr="008B4DA8" w:rsidRDefault="00C25C7D" w:rsidP="00360FB0">
            <w:pPr>
              <w:tabs>
                <w:tab w:val="left" w:pos="9923"/>
              </w:tabs>
              <w:jc w:val="both"/>
              <w:rPr>
                <w:rFonts w:cs="Arial"/>
                <w:sz w:val="20"/>
              </w:rPr>
            </w:pPr>
            <w:r w:rsidRPr="008B4DA8">
              <w:rPr>
                <w:rFonts w:cs="Arial"/>
                <w:sz w:val="20"/>
              </w:rPr>
              <w:t>Major Study</w:t>
            </w:r>
          </w:p>
        </w:tc>
      </w:tr>
    </w:tbl>
    <w:p w14:paraId="6EA74D88" w14:textId="77777777" w:rsidR="00C25C7D" w:rsidRPr="008B4DA8" w:rsidRDefault="00C25C7D" w:rsidP="00360FB0">
      <w:pPr>
        <w:tabs>
          <w:tab w:val="left" w:pos="9923"/>
        </w:tabs>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2"/>
        <w:gridCol w:w="4464"/>
      </w:tblGrid>
      <w:tr w:rsidR="00C25C7D" w:rsidRPr="008B4DA8" w14:paraId="6E6967ED" w14:textId="77777777" w:rsidTr="00BC6421">
        <w:tblPrEx>
          <w:tblCellMar>
            <w:top w:w="0" w:type="dxa"/>
            <w:bottom w:w="0" w:type="dxa"/>
          </w:tblCellMar>
        </w:tblPrEx>
        <w:tc>
          <w:tcPr>
            <w:tcW w:w="4482" w:type="dxa"/>
          </w:tcPr>
          <w:p w14:paraId="23565764" w14:textId="77777777" w:rsidR="00C25C7D" w:rsidRPr="008B4DA8" w:rsidRDefault="00C25C7D" w:rsidP="00360FB0">
            <w:pPr>
              <w:jc w:val="both"/>
              <w:rPr>
                <w:rFonts w:cs="Arial"/>
                <w:b/>
                <w:sz w:val="20"/>
              </w:rPr>
            </w:pPr>
            <w:r w:rsidRPr="008B4DA8">
              <w:rPr>
                <w:rFonts w:cs="Arial"/>
                <w:b/>
                <w:sz w:val="20"/>
              </w:rPr>
              <w:t xml:space="preserve">Course Outcomes </w:t>
            </w:r>
          </w:p>
          <w:p w14:paraId="426349E8" w14:textId="2D0609A4" w:rsidR="00C25C7D" w:rsidRPr="008B4DA8" w:rsidRDefault="00BC6421" w:rsidP="00360FB0">
            <w:pPr>
              <w:jc w:val="both"/>
              <w:rPr>
                <w:rFonts w:cs="Arial"/>
                <w:sz w:val="20"/>
              </w:rPr>
            </w:pPr>
            <w:r w:rsidRPr="00BC6421">
              <w:rPr>
                <w:rFonts w:cs="Arial"/>
                <w:b/>
                <w:sz w:val="20"/>
              </w:rPr>
              <w:t>Professional/practical skills</w:t>
            </w:r>
          </w:p>
        </w:tc>
        <w:tc>
          <w:tcPr>
            <w:tcW w:w="4464" w:type="dxa"/>
          </w:tcPr>
          <w:p w14:paraId="7617140F" w14:textId="77777777" w:rsidR="00C25C7D" w:rsidRPr="008B4DA8" w:rsidRDefault="00C25C7D" w:rsidP="00360FB0">
            <w:pPr>
              <w:jc w:val="both"/>
              <w:rPr>
                <w:rFonts w:cs="Arial"/>
                <w:sz w:val="20"/>
              </w:rPr>
            </w:pPr>
            <w:r w:rsidRPr="008B4DA8">
              <w:rPr>
                <w:rFonts w:cs="Arial"/>
                <w:b/>
                <w:sz w:val="20"/>
              </w:rPr>
              <w:t>Modules:</w:t>
            </w:r>
          </w:p>
        </w:tc>
      </w:tr>
      <w:tr w:rsidR="00C25C7D" w:rsidRPr="008B4DA8" w14:paraId="13E7D48E" w14:textId="77777777" w:rsidTr="00BC6421">
        <w:tblPrEx>
          <w:tblCellMar>
            <w:top w:w="0" w:type="dxa"/>
            <w:bottom w:w="0" w:type="dxa"/>
          </w:tblCellMar>
        </w:tblPrEx>
        <w:tc>
          <w:tcPr>
            <w:tcW w:w="4482" w:type="dxa"/>
          </w:tcPr>
          <w:p w14:paraId="5CC4DF44" w14:textId="1C306673" w:rsidR="00C25C7D" w:rsidRPr="008B4DA8" w:rsidRDefault="00BC6421" w:rsidP="00360FB0">
            <w:pPr>
              <w:jc w:val="both"/>
              <w:rPr>
                <w:rFonts w:cs="Arial"/>
                <w:sz w:val="20"/>
              </w:rPr>
            </w:pPr>
            <w:r>
              <w:rPr>
                <w:rFonts w:cs="Arial"/>
                <w:sz w:val="20"/>
              </w:rPr>
              <w:t xml:space="preserve">CLO12 </w:t>
            </w:r>
            <w:r w:rsidR="00C25C7D" w:rsidRPr="008B4DA8">
              <w:rPr>
                <w:rFonts w:cs="Arial"/>
                <w:sz w:val="20"/>
              </w:rPr>
              <w:t>Identifies social and economic circumstances influencing communities and individuals.</w:t>
            </w:r>
          </w:p>
        </w:tc>
        <w:tc>
          <w:tcPr>
            <w:tcW w:w="4464" w:type="dxa"/>
          </w:tcPr>
          <w:p w14:paraId="07B60A66" w14:textId="77777777" w:rsidR="00C25C7D" w:rsidRPr="008B4DA8" w:rsidRDefault="00C25C7D" w:rsidP="00360FB0">
            <w:pPr>
              <w:jc w:val="both"/>
              <w:rPr>
                <w:rFonts w:cs="Arial"/>
                <w:sz w:val="20"/>
              </w:rPr>
            </w:pPr>
            <w:r w:rsidRPr="008B4DA8">
              <w:rPr>
                <w:rFonts w:cs="Arial"/>
                <w:sz w:val="20"/>
              </w:rPr>
              <w:t xml:space="preserve">Perspectives on Learning and Development  </w:t>
            </w:r>
          </w:p>
          <w:p w14:paraId="6DB9A499" w14:textId="77777777" w:rsidR="00C25C7D" w:rsidRDefault="00C25C7D" w:rsidP="00360FB0">
            <w:pPr>
              <w:jc w:val="both"/>
              <w:rPr>
                <w:rFonts w:cs="Arial"/>
                <w:sz w:val="20"/>
              </w:rPr>
            </w:pPr>
            <w:r w:rsidRPr="008B4DA8">
              <w:rPr>
                <w:rFonts w:cs="Arial"/>
                <w:sz w:val="20"/>
              </w:rPr>
              <w:t>Self, Society and Welfare</w:t>
            </w:r>
          </w:p>
          <w:p w14:paraId="05EC6E9B" w14:textId="77777777" w:rsidR="003351A8" w:rsidRPr="008B4DA8" w:rsidRDefault="003351A8" w:rsidP="00360FB0">
            <w:pPr>
              <w:jc w:val="both"/>
              <w:rPr>
                <w:rFonts w:cs="Arial"/>
                <w:sz w:val="20"/>
              </w:rPr>
            </w:pPr>
            <w:r>
              <w:rPr>
                <w:rFonts w:cs="Arial"/>
                <w:sz w:val="20"/>
              </w:rPr>
              <w:t>Working in Community Settings</w:t>
            </w:r>
          </w:p>
          <w:p w14:paraId="5A5BEEDF" w14:textId="77777777" w:rsidR="00C25C7D" w:rsidRPr="008B4DA8" w:rsidRDefault="00A363CE" w:rsidP="00360FB0">
            <w:pPr>
              <w:jc w:val="both"/>
              <w:rPr>
                <w:rFonts w:cs="Arial"/>
                <w:sz w:val="20"/>
              </w:rPr>
            </w:pPr>
            <w:r>
              <w:rPr>
                <w:sz w:val="20"/>
              </w:rPr>
              <w:t>Social Policy and Inclusion</w:t>
            </w:r>
            <w:r w:rsidR="00C25C7D" w:rsidRPr="008B4DA8">
              <w:rPr>
                <w:sz w:val="20"/>
              </w:rPr>
              <w:t xml:space="preserve"> </w:t>
            </w:r>
          </w:p>
        </w:tc>
      </w:tr>
      <w:tr w:rsidR="00C25C7D" w:rsidRPr="008B4DA8" w14:paraId="534E8D9B" w14:textId="77777777" w:rsidTr="00BC6421">
        <w:tblPrEx>
          <w:tblCellMar>
            <w:top w:w="0" w:type="dxa"/>
            <w:bottom w:w="0" w:type="dxa"/>
          </w:tblCellMar>
        </w:tblPrEx>
        <w:tc>
          <w:tcPr>
            <w:tcW w:w="4482" w:type="dxa"/>
          </w:tcPr>
          <w:p w14:paraId="3FD20282" w14:textId="02DC4E88" w:rsidR="00C25C7D" w:rsidRPr="008B4DA8" w:rsidRDefault="00BC6421" w:rsidP="00360FB0">
            <w:pPr>
              <w:jc w:val="both"/>
              <w:rPr>
                <w:rFonts w:cs="Arial"/>
                <w:sz w:val="20"/>
              </w:rPr>
            </w:pPr>
            <w:r>
              <w:rPr>
                <w:rFonts w:cs="Arial"/>
                <w:sz w:val="20"/>
              </w:rPr>
              <w:t xml:space="preserve">CLO13 </w:t>
            </w:r>
            <w:r w:rsidR="00C25C7D" w:rsidRPr="008B4DA8">
              <w:rPr>
                <w:rFonts w:cs="Arial"/>
                <w:sz w:val="20"/>
              </w:rPr>
              <w:t>Identifies structural, environmental and individual factors contributing to social inequalities.</w:t>
            </w:r>
          </w:p>
        </w:tc>
        <w:tc>
          <w:tcPr>
            <w:tcW w:w="4464" w:type="dxa"/>
          </w:tcPr>
          <w:p w14:paraId="76B71488" w14:textId="77777777" w:rsidR="00C25C7D" w:rsidRPr="008B4DA8" w:rsidRDefault="00C25C7D" w:rsidP="00360FB0">
            <w:pPr>
              <w:jc w:val="both"/>
              <w:rPr>
                <w:rFonts w:cs="Arial"/>
                <w:sz w:val="20"/>
              </w:rPr>
            </w:pPr>
            <w:r w:rsidRPr="008B4DA8">
              <w:rPr>
                <w:rFonts w:cs="Arial"/>
                <w:sz w:val="20"/>
              </w:rPr>
              <w:t xml:space="preserve">Perspectives on Learning and Development  </w:t>
            </w:r>
          </w:p>
          <w:p w14:paraId="689BA768" w14:textId="77777777" w:rsidR="00C25C7D" w:rsidRPr="008B4DA8" w:rsidRDefault="00C25C7D" w:rsidP="00360FB0">
            <w:pPr>
              <w:jc w:val="both"/>
              <w:rPr>
                <w:rFonts w:cs="Arial"/>
                <w:sz w:val="20"/>
              </w:rPr>
            </w:pPr>
            <w:r w:rsidRPr="008B4DA8">
              <w:rPr>
                <w:rFonts w:cs="Arial"/>
                <w:sz w:val="20"/>
              </w:rPr>
              <w:t>Self, Society and Welfare</w:t>
            </w:r>
          </w:p>
          <w:p w14:paraId="36722051" w14:textId="77777777" w:rsidR="00C25C7D" w:rsidRPr="008B4DA8" w:rsidRDefault="00A363CE" w:rsidP="00360FB0">
            <w:pPr>
              <w:jc w:val="both"/>
              <w:rPr>
                <w:rFonts w:cs="Arial"/>
                <w:sz w:val="20"/>
              </w:rPr>
            </w:pPr>
            <w:r>
              <w:rPr>
                <w:sz w:val="20"/>
              </w:rPr>
              <w:t>Social Policy and Inclusion</w:t>
            </w:r>
          </w:p>
        </w:tc>
      </w:tr>
      <w:tr w:rsidR="00C25C7D" w:rsidRPr="008B4DA8" w14:paraId="05F93B2C" w14:textId="77777777" w:rsidTr="00BC6421">
        <w:tblPrEx>
          <w:tblCellMar>
            <w:top w:w="0" w:type="dxa"/>
            <w:bottom w:w="0" w:type="dxa"/>
          </w:tblCellMar>
        </w:tblPrEx>
        <w:tc>
          <w:tcPr>
            <w:tcW w:w="4482" w:type="dxa"/>
          </w:tcPr>
          <w:p w14:paraId="079B4668" w14:textId="2FDE9855" w:rsidR="00C25C7D" w:rsidRPr="008B4DA8" w:rsidRDefault="00BC6421" w:rsidP="00360FB0">
            <w:pPr>
              <w:jc w:val="both"/>
              <w:rPr>
                <w:rFonts w:cs="Arial"/>
                <w:sz w:val="20"/>
              </w:rPr>
            </w:pPr>
            <w:r>
              <w:rPr>
                <w:rFonts w:cs="Arial"/>
                <w:sz w:val="20"/>
              </w:rPr>
              <w:lastRenderedPageBreak/>
              <w:t xml:space="preserve">CLO14 </w:t>
            </w:r>
            <w:r w:rsidR="00C25C7D" w:rsidRPr="008B4DA8">
              <w:rPr>
                <w:rFonts w:cs="Arial"/>
                <w:sz w:val="20"/>
              </w:rPr>
              <w:t>Critically analyses differing explanations for social inequalities and can distinguish between them.</w:t>
            </w:r>
          </w:p>
        </w:tc>
        <w:tc>
          <w:tcPr>
            <w:tcW w:w="4464" w:type="dxa"/>
          </w:tcPr>
          <w:p w14:paraId="6AE8C81D" w14:textId="77777777" w:rsidR="00C25C7D" w:rsidRPr="008B4DA8" w:rsidRDefault="00C25C7D" w:rsidP="00360FB0">
            <w:pPr>
              <w:tabs>
                <w:tab w:val="left" w:pos="9923"/>
              </w:tabs>
              <w:jc w:val="both"/>
              <w:rPr>
                <w:rFonts w:cs="Arial"/>
                <w:sz w:val="20"/>
              </w:rPr>
            </w:pPr>
            <w:r w:rsidRPr="008B4DA8">
              <w:rPr>
                <w:rFonts w:cs="Arial"/>
                <w:sz w:val="20"/>
              </w:rPr>
              <w:t xml:space="preserve">Perspectives on Learning and Development </w:t>
            </w:r>
          </w:p>
          <w:p w14:paraId="7F51F38C" w14:textId="77777777" w:rsidR="00C25C7D" w:rsidRPr="008B4DA8" w:rsidRDefault="00A363CE" w:rsidP="00360FB0">
            <w:pPr>
              <w:jc w:val="both"/>
              <w:rPr>
                <w:rFonts w:cs="Arial"/>
                <w:sz w:val="20"/>
              </w:rPr>
            </w:pPr>
            <w:r>
              <w:rPr>
                <w:sz w:val="20"/>
              </w:rPr>
              <w:t>Social Policy and Inclusion</w:t>
            </w:r>
          </w:p>
        </w:tc>
      </w:tr>
      <w:tr w:rsidR="00C25C7D" w:rsidRPr="008B4DA8" w14:paraId="6618B081" w14:textId="77777777" w:rsidTr="00BC6421">
        <w:tblPrEx>
          <w:tblCellMar>
            <w:top w:w="0" w:type="dxa"/>
            <w:bottom w:w="0" w:type="dxa"/>
          </w:tblCellMar>
        </w:tblPrEx>
        <w:tc>
          <w:tcPr>
            <w:tcW w:w="4482" w:type="dxa"/>
          </w:tcPr>
          <w:p w14:paraId="455FBD75" w14:textId="5EBD293D" w:rsidR="00C25C7D" w:rsidRPr="008B4DA8" w:rsidRDefault="00BC6421" w:rsidP="00360FB0">
            <w:pPr>
              <w:jc w:val="both"/>
              <w:rPr>
                <w:rFonts w:cs="Arial"/>
                <w:sz w:val="20"/>
              </w:rPr>
            </w:pPr>
            <w:r>
              <w:rPr>
                <w:rFonts w:cs="Arial"/>
                <w:sz w:val="20"/>
              </w:rPr>
              <w:t xml:space="preserve">CLO15 </w:t>
            </w:r>
            <w:r w:rsidR="00C25C7D" w:rsidRPr="008B4DA8">
              <w:rPr>
                <w:rFonts w:cs="Arial"/>
                <w:sz w:val="20"/>
              </w:rPr>
              <w:t>Identifies equal opportunities issues affecting the role of the informal educator.</w:t>
            </w:r>
          </w:p>
        </w:tc>
        <w:tc>
          <w:tcPr>
            <w:tcW w:w="4464" w:type="dxa"/>
          </w:tcPr>
          <w:p w14:paraId="04F40D5F" w14:textId="77777777" w:rsidR="00C25C7D" w:rsidRPr="008B4DA8" w:rsidRDefault="00C25C7D" w:rsidP="00360FB0">
            <w:pPr>
              <w:jc w:val="both"/>
              <w:rPr>
                <w:rFonts w:cs="Arial"/>
                <w:sz w:val="20"/>
              </w:rPr>
            </w:pPr>
            <w:r w:rsidRPr="008B4DA8">
              <w:rPr>
                <w:rFonts w:cs="Arial"/>
                <w:sz w:val="20"/>
              </w:rPr>
              <w:t xml:space="preserve">Perspectives on Learning and Development  </w:t>
            </w:r>
          </w:p>
          <w:p w14:paraId="21B19D27" w14:textId="77777777" w:rsidR="00C25C7D" w:rsidRPr="008B4DA8" w:rsidRDefault="00C25C7D" w:rsidP="00360FB0">
            <w:pPr>
              <w:jc w:val="both"/>
              <w:rPr>
                <w:rFonts w:cs="Arial"/>
                <w:sz w:val="20"/>
              </w:rPr>
            </w:pPr>
            <w:r w:rsidRPr="008B4DA8">
              <w:rPr>
                <w:rFonts w:cs="Arial"/>
                <w:sz w:val="20"/>
              </w:rPr>
              <w:t xml:space="preserve">Self, Society and Welfare </w:t>
            </w:r>
          </w:p>
          <w:p w14:paraId="35E69804" w14:textId="77777777" w:rsidR="00C25C7D" w:rsidRDefault="00A363CE" w:rsidP="00360FB0">
            <w:pPr>
              <w:jc w:val="both"/>
              <w:rPr>
                <w:sz w:val="20"/>
              </w:rPr>
            </w:pPr>
            <w:r>
              <w:rPr>
                <w:sz w:val="20"/>
              </w:rPr>
              <w:t>Social Policy and Inclusion</w:t>
            </w:r>
            <w:r w:rsidR="00C25C7D" w:rsidRPr="008B4DA8">
              <w:rPr>
                <w:sz w:val="20"/>
              </w:rPr>
              <w:t xml:space="preserve"> </w:t>
            </w:r>
          </w:p>
          <w:p w14:paraId="6A62A9CB" w14:textId="77777777" w:rsidR="00C74C4C" w:rsidRPr="008B4DA8" w:rsidRDefault="00C74C4C" w:rsidP="00360FB0">
            <w:pPr>
              <w:jc w:val="both"/>
              <w:rPr>
                <w:rFonts w:cs="Arial"/>
                <w:sz w:val="20"/>
              </w:rPr>
            </w:pPr>
            <w:r>
              <w:rPr>
                <w:sz w:val="20"/>
              </w:rPr>
              <w:t>All practice-based modules</w:t>
            </w:r>
          </w:p>
        </w:tc>
      </w:tr>
      <w:tr w:rsidR="00C25C7D" w:rsidRPr="008B4DA8" w14:paraId="54BD22D6" w14:textId="77777777" w:rsidTr="00BC6421">
        <w:tblPrEx>
          <w:tblCellMar>
            <w:top w:w="0" w:type="dxa"/>
            <w:bottom w:w="0" w:type="dxa"/>
          </w:tblCellMar>
        </w:tblPrEx>
        <w:tc>
          <w:tcPr>
            <w:tcW w:w="4482" w:type="dxa"/>
          </w:tcPr>
          <w:p w14:paraId="5C3823F2" w14:textId="4D6FE292" w:rsidR="00C25C7D" w:rsidRPr="008B4DA8" w:rsidRDefault="00BC6421" w:rsidP="00360FB0">
            <w:pPr>
              <w:jc w:val="both"/>
              <w:rPr>
                <w:rFonts w:cs="Arial"/>
                <w:sz w:val="20"/>
              </w:rPr>
            </w:pPr>
            <w:r>
              <w:rPr>
                <w:rFonts w:cs="Arial"/>
                <w:sz w:val="20"/>
              </w:rPr>
              <w:t xml:space="preserve">CLO16 </w:t>
            </w:r>
            <w:r w:rsidR="00C25C7D" w:rsidRPr="008B4DA8">
              <w:rPr>
                <w:rFonts w:cs="Arial"/>
                <w:sz w:val="20"/>
              </w:rPr>
              <w:t>Systematically reflects the changing nature of the political, policy and economic environment within which youth and community work takes place, and differing explanations for these changes.</w:t>
            </w:r>
          </w:p>
        </w:tc>
        <w:tc>
          <w:tcPr>
            <w:tcW w:w="4464" w:type="dxa"/>
          </w:tcPr>
          <w:p w14:paraId="70C7E802" w14:textId="77777777" w:rsidR="00C25C7D" w:rsidRPr="008B4DA8" w:rsidRDefault="00C25C7D" w:rsidP="00360FB0">
            <w:pPr>
              <w:jc w:val="both"/>
              <w:rPr>
                <w:rFonts w:cs="Arial"/>
                <w:sz w:val="20"/>
              </w:rPr>
            </w:pPr>
            <w:r w:rsidRPr="008B4DA8">
              <w:rPr>
                <w:rFonts w:cs="Arial"/>
                <w:sz w:val="20"/>
              </w:rPr>
              <w:t xml:space="preserve">Perspectives on Learning and Development  </w:t>
            </w:r>
          </w:p>
          <w:p w14:paraId="401C808C" w14:textId="77777777" w:rsidR="00C25C7D" w:rsidRPr="008B4DA8" w:rsidRDefault="00C25C7D" w:rsidP="00360FB0">
            <w:pPr>
              <w:jc w:val="both"/>
              <w:rPr>
                <w:rFonts w:cs="Arial"/>
                <w:sz w:val="20"/>
              </w:rPr>
            </w:pPr>
            <w:r w:rsidRPr="008B4DA8">
              <w:rPr>
                <w:rFonts w:cs="Arial"/>
                <w:sz w:val="20"/>
              </w:rPr>
              <w:t xml:space="preserve">Self, Society and Welfare </w:t>
            </w:r>
          </w:p>
          <w:p w14:paraId="207C6363" w14:textId="77777777" w:rsidR="00C25C7D" w:rsidRPr="008B4DA8" w:rsidRDefault="00A363CE" w:rsidP="00360FB0">
            <w:pPr>
              <w:jc w:val="both"/>
              <w:rPr>
                <w:sz w:val="20"/>
              </w:rPr>
            </w:pPr>
            <w:r>
              <w:rPr>
                <w:sz w:val="20"/>
              </w:rPr>
              <w:t>Social Policy and Inclusion</w:t>
            </w:r>
            <w:r w:rsidR="00C25C7D" w:rsidRPr="008B4DA8">
              <w:rPr>
                <w:sz w:val="20"/>
              </w:rPr>
              <w:t xml:space="preserve"> </w:t>
            </w:r>
          </w:p>
          <w:p w14:paraId="5EFD8F5A" w14:textId="77777777" w:rsidR="00C25C7D" w:rsidRPr="008B4DA8" w:rsidRDefault="00C25C7D" w:rsidP="00360FB0">
            <w:pPr>
              <w:tabs>
                <w:tab w:val="left" w:pos="9923"/>
              </w:tabs>
              <w:jc w:val="both"/>
              <w:rPr>
                <w:rFonts w:cs="Arial"/>
                <w:sz w:val="20"/>
              </w:rPr>
            </w:pPr>
            <w:r w:rsidRPr="008B4DA8">
              <w:rPr>
                <w:rFonts w:cs="Arial"/>
                <w:sz w:val="20"/>
              </w:rPr>
              <w:t>Research Methodologies</w:t>
            </w:r>
          </w:p>
          <w:p w14:paraId="407146FD" w14:textId="77777777" w:rsidR="00C25C7D" w:rsidRPr="008B4DA8" w:rsidRDefault="003351A8" w:rsidP="00360FB0">
            <w:pPr>
              <w:jc w:val="both"/>
              <w:rPr>
                <w:rFonts w:cs="Arial"/>
                <w:sz w:val="20"/>
              </w:rPr>
            </w:pPr>
            <w:r>
              <w:rPr>
                <w:rFonts w:cs="Arial"/>
                <w:sz w:val="20"/>
              </w:rPr>
              <w:t>All practice-based modules</w:t>
            </w:r>
          </w:p>
        </w:tc>
      </w:tr>
      <w:tr w:rsidR="00BC6421" w:rsidRPr="008B4DA8" w14:paraId="6BB79648"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0901FAFC" w14:textId="12DD7660" w:rsidR="00BC6421" w:rsidRPr="008B4DA8" w:rsidRDefault="00BC6421" w:rsidP="00554BC8">
            <w:pPr>
              <w:jc w:val="both"/>
              <w:rPr>
                <w:rFonts w:cs="Arial"/>
                <w:sz w:val="20"/>
              </w:rPr>
            </w:pPr>
            <w:r>
              <w:rPr>
                <w:rFonts w:cs="Arial"/>
                <w:sz w:val="20"/>
              </w:rPr>
              <w:t xml:space="preserve">CLO17 </w:t>
            </w:r>
            <w:r w:rsidRPr="008B4DA8">
              <w:rPr>
                <w:rFonts w:cs="Arial"/>
                <w:sz w:val="20"/>
              </w:rPr>
              <w:t>Builds relationships with young people which enable them to explore and make sense of their experiences, and plan and take action</w:t>
            </w:r>
          </w:p>
        </w:tc>
        <w:tc>
          <w:tcPr>
            <w:tcW w:w="4464" w:type="dxa"/>
            <w:tcBorders>
              <w:top w:val="single" w:sz="4" w:space="0" w:color="auto"/>
              <w:left w:val="single" w:sz="4" w:space="0" w:color="auto"/>
              <w:bottom w:val="single" w:sz="4" w:space="0" w:color="auto"/>
              <w:right w:val="single" w:sz="4" w:space="0" w:color="auto"/>
            </w:tcBorders>
          </w:tcPr>
          <w:p w14:paraId="2C064820"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p w14:paraId="0809BE68" w14:textId="77777777" w:rsidR="00BC6421" w:rsidRPr="008B4DA8" w:rsidRDefault="00BC6421" w:rsidP="00554BC8">
            <w:pPr>
              <w:jc w:val="both"/>
              <w:rPr>
                <w:rFonts w:cs="Arial"/>
                <w:sz w:val="20"/>
              </w:rPr>
            </w:pPr>
            <w:r w:rsidRPr="008B4DA8">
              <w:rPr>
                <w:rFonts w:cs="Arial"/>
                <w:sz w:val="20"/>
              </w:rPr>
              <w:t xml:space="preserve">People in Action: work with Individuals and Groups </w:t>
            </w:r>
          </w:p>
          <w:p w14:paraId="78DA59E5" w14:textId="77777777" w:rsidR="00BC6421" w:rsidRPr="008B4DA8" w:rsidRDefault="00BC6421" w:rsidP="00554BC8">
            <w:pPr>
              <w:jc w:val="both"/>
              <w:rPr>
                <w:rFonts w:cs="Arial"/>
                <w:sz w:val="20"/>
              </w:rPr>
            </w:pPr>
          </w:p>
        </w:tc>
      </w:tr>
      <w:tr w:rsidR="00BC6421" w:rsidRPr="008B4DA8" w14:paraId="06ECE7ED"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7D0D3E2A" w14:textId="46F252C3" w:rsidR="00BC6421" w:rsidRPr="008B4DA8" w:rsidRDefault="00BC6421" w:rsidP="00554BC8">
            <w:pPr>
              <w:jc w:val="both"/>
              <w:rPr>
                <w:rFonts w:cs="Arial"/>
                <w:sz w:val="20"/>
              </w:rPr>
            </w:pPr>
            <w:r>
              <w:rPr>
                <w:rFonts w:cs="Arial"/>
                <w:sz w:val="20"/>
              </w:rPr>
              <w:t xml:space="preserve">CLO18 </w:t>
            </w:r>
            <w:r w:rsidRPr="008B4DA8">
              <w:rPr>
                <w:rFonts w:cs="Arial"/>
                <w:sz w:val="20"/>
              </w:rPr>
              <w:t>Facilitates young people’s learning and personal and social development</w:t>
            </w:r>
          </w:p>
        </w:tc>
        <w:tc>
          <w:tcPr>
            <w:tcW w:w="4464" w:type="dxa"/>
            <w:tcBorders>
              <w:top w:val="single" w:sz="4" w:space="0" w:color="auto"/>
              <w:left w:val="single" w:sz="4" w:space="0" w:color="auto"/>
              <w:bottom w:val="single" w:sz="4" w:space="0" w:color="auto"/>
              <w:right w:val="single" w:sz="4" w:space="0" w:color="auto"/>
            </w:tcBorders>
          </w:tcPr>
          <w:p w14:paraId="0016D4C3"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tc>
      </w:tr>
      <w:tr w:rsidR="00BC6421" w:rsidRPr="008B4DA8" w14:paraId="03F8FEE3"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498A3395" w14:textId="4FCC92AD" w:rsidR="00BC6421" w:rsidRPr="008B4DA8" w:rsidRDefault="00BC6421" w:rsidP="00554BC8">
            <w:pPr>
              <w:jc w:val="both"/>
              <w:rPr>
                <w:rFonts w:cs="Arial"/>
                <w:sz w:val="20"/>
              </w:rPr>
            </w:pPr>
            <w:r>
              <w:rPr>
                <w:rFonts w:cs="Arial"/>
                <w:sz w:val="20"/>
              </w:rPr>
              <w:t xml:space="preserve">CLO19 </w:t>
            </w:r>
            <w:r w:rsidRPr="008B4DA8">
              <w:rPr>
                <w:rFonts w:cs="Arial"/>
                <w:sz w:val="20"/>
              </w:rPr>
              <w:t>Enables communities to organise, and take increasing responsibility for activities, events and projects</w:t>
            </w:r>
          </w:p>
        </w:tc>
        <w:tc>
          <w:tcPr>
            <w:tcW w:w="4464" w:type="dxa"/>
            <w:tcBorders>
              <w:top w:val="single" w:sz="4" w:space="0" w:color="auto"/>
              <w:left w:val="single" w:sz="4" w:space="0" w:color="auto"/>
              <w:bottom w:val="single" w:sz="4" w:space="0" w:color="auto"/>
              <w:right w:val="single" w:sz="4" w:space="0" w:color="auto"/>
            </w:tcBorders>
          </w:tcPr>
          <w:p w14:paraId="55E9C35F"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 </w:t>
            </w:r>
          </w:p>
        </w:tc>
      </w:tr>
      <w:tr w:rsidR="00BC6421" w:rsidRPr="008B4DA8" w14:paraId="5D523E85"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0257091C" w14:textId="14D1134F" w:rsidR="00BC6421" w:rsidRPr="008B4DA8" w:rsidRDefault="00BC6421" w:rsidP="00554BC8">
            <w:pPr>
              <w:jc w:val="both"/>
              <w:rPr>
                <w:rFonts w:cs="Arial"/>
                <w:sz w:val="20"/>
              </w:rPr>
            </w:pPr>
            <w:r>
              <w:rPr>
                <w:rFonts w:cs="Arial"/>
                <w:sz w:val="20"/>
              </w:rPr>
              <w:t xml:space="preserve">CLO20 </w:t>
            </w:r>
            <w:r w:rsidRPr="008B4DA8">
              <w:rPr>
                <w:rFonts w:cs="Arial"/>
                <w:sz w:val="20"/>
              </w:rPr>
              <w:t>Works with young people in accordance with the core values of youth work</w:t>
            </w:r>
          </w:p>
        </w:tc>
        <w:tc>
          <w:tcPr>
            <w:tcW w:w="4464" w:type="dxa"/>
            <w:tcBorders>
              <w:top w:val="single" w:sz="4" w:space="0" w:color="auto"/>
              <w:left w:val="single" w:sz="4" w:space="0" w:color="auto"/>
              <w:bottom w:val="single" w:sz="4" w:space="0" w:color="auto"/>
              <w:right w:val="single" w:sz="4" w:space="0" w:color="auto"/>
            </w:tcBorders>
          </w:tcPr>
          <w:p w14:paraId="600524F4"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p w14:paraId="40677DCF" w14:textId="77777777" w:rsidR="00BC6421" w:rsidRPr="008B4DA8" w:rsidRDefault="00BC6421" w:rsidP="00554BC8">
            <w:pPr>
              <w:jc w:val="both"/>
              <w:rPr>
                <w:rFonts w:cs="Arial"/>
                <w:sz w:val="20"/>
              </w:rPr>
            </w:pPr>
            <w:r w:rsidRPr="008B4DA8">
              <w:rPr>
                <w:rFonts w:cs="Arial"/>
                <w:sz w:val="20"/>
              </w:rPr>
              <w:t xml:space="preserve">People in Action: work with Individuals and Groups </w:t>
            </w:r>
          </w:p>
        </w:tc>
      </w:tr>
      <w:tr w:rsidR="00BC6421" w:rsidRPr="008B4DA8" w14:paraId="2672AA0C"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373569BB" w14:textId="7683B256" w:rsidR="00BC6421" w:rsidRPr="008B4DA8" w:rsidRDefault="00BC6421" w:rsidP="00554BC8">
            <w:pPr>
              <w:jc w:val="both"/>
              <w:rPr>
                <w:rFonts w:cs="Arial"/>
                <w:sz w:val="20"/>
              </w:rPr>
            </w:pPr>
            <w:r>
              <w:rPr>
                <w:rFonts w:cs="Arial"/>
                <w:sz w:val="20"/>
              </w:rPr>
              <w:t xml:space="preserve">CLO21 </w:t>
            </w:r>
            <w:r w:rsidRPr="008B4DA8">
              <w:rPr>
                <w:rFonts w:cs="Arial"/>
                <w:sz w:val="20"/>
              </w:rPr>
              <w:t>Plans, manages and develops youth and community work</w:t>
            </w:r>
          </w:p>
        </w:tc>
        <w:tc>
          <w:tcPr>
            <w:tcW w:w="4464" w:type="dxa"/>
            <w:tcBorders>
              <w:top w:val="single" w:sz="4" w:space="0" w:color="auto"/>
              <w:left w:val="single" w:sz="4" w:space="0" w:color="auto"/>
              <w:bottom w:val="single" w:sz="4" w:space="0" w:color="auto"/>
              <w:right w:val="single" w:sz="4" w:space="0" w:color="auto"/>
            </w:tcBorders>
          </w:tcPr>
          <w:p w14:paraId="1725F69D"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tc>
      </w:tr>
      <w:tr w:rsidR="00BC6421" w:rsidRPr="008B4DA8" w14:paraId="482462FE"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17F24D01" w14:textId="3178C4C7" w:rsidR="00BC6421" w:rsidRPr="008B4DA8" w:rsidRDefault="00BC6421" w:rsidP="00554BC8">
            <w:pPr>
              <w:jc w:val="both"/>
              <w:rPr>
                <w:rFonts w:cs="Arial"/>
                <w:sz w:val="20"/>
              </w:rPr>
            </w:pPr>
            <w:r>
              <w:rPr>
                <w:rFonts w:cs="Arial"/>
                <w:sz w:val="20"/>
              </w:rPr>
              <w:t xml:space="preserve">CLO22 </w:t>
            </w:r>
            <w:r w:rsidRPr="008B4DA8">
              <w:rPr>
                <w:rFonts w:cs="Arial"/>
                <w:sz w:val="20"/>
              </w:rPr>
              <w:t>Supports and develops effective, efficient and ethical practice in youth and community work</w:t>
            </w:r>
          </w:p>
        </w:tc>
        <w:tc>
          <w:tcPr>
            <w:tcW w:w="4464" w:type="dxa"/>
            <w:tcBorders>
              <w:top w:val="single" w:sz="4" w:space="0" w:color="auto"/>
              <w:left w:val="single" w:sz="4" w:space="0" w:color="auto"/>
              <w:bottom w:val="single" w:sz="4" w:space="0" w:color="auto"/>
              <w:right w:val="single" w:sz="4" w:space="0" w:color="auto"/>
            </w:tcBorders>
          </w:tcPr>
          <w:p w14:paraId="4580CD25"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p w14:paraId="794ADD9A" w14:textId="77777777" w:rsidR="00BC6421" w:rsidRPr="008B4DA8" w:rsidRDefault="00BC6421" w:rsidP="00554BC8">
            <w:pPr>
              <w:jc w:val="both"/>
              <w:rPr>
                <w:rFonts w:cs="Arial"/>
                <w:sz w:val="20"/>
              </w:rPr>
            </w:pPr>
            <w:r w:rsidRPr="008B4DA8">
              <w:rPr>
                <w:rFonts w:cs="Arial"/>
                <w:sz w:val="20"/>
              </w:rPr>
              <w:t xml:space="preserve">People in Action: work with Individuals and Groups </w:t>
            </w:r>
          </w:p>
        </w:tc>
      </w:tr>
      <w:tr w:rsidR="00BC6421" w:rsidRPr="008B4DA8" w14:paraId="670B5341"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36F68277" w14:textId="3797A7FB" w:rsidR="00BC6421" w:rsidRPr="008B4DA8" w:rsidRDefault="00BC6421" w:rsidP="00554BC8">
            <w:pPr>
              <w:jc w:val="both"/>
              <w:rPr>
                <w:rFonts w:cs="Arial"/>
                <w:sz w:val="20"/>
              </w:rPr>
            </w:pPr>
            <w:r>
              <w:rPr>
                <w:rFonts w:cs="Arial"/>
                <w:sz w:val="20"/>
              </w:rPr>
              <w:t xml:space="preserve">CLO23 </w:t>
            </w:r>
            <w:r w:rsidRPr="008B4DA8">
              <w:rPr>
                <w:rFonts w:cs="Arial"/>
                <w:sz w:val="20"/>
              </w:rPr>
              <w:t>Develops the skills, values and knowledge identified as the foundation of youth and community work practice.</w:t>
            </w:r>
          </w:p>
        </w:tc>
        <w:tc>
          <w:tcPr>
            <w:tcW w:w="4464" w:type="dxa"/>
            <w:tcBorders>
              <w:top w:val="single" w:sz="4" w:space="0" w:color="auto"/>
              <w:left w:val="single" w:sz="4" w:space="0" w:color="auto"/>
              <w:bottom w:val="single" w:sz="4" w:space="0" w:color="auto"/>
              <w:right w:val="single" w:sz="4" w:space="0" w:color="auto"/>
            </w:tcBorders>
          </w:tcPr>
          <w:p w14:paraId="29F7E10E" w14:textId="77777777" w:rsidR="00BC6421" w:rsidRPr="008B4DA8" w:rsidRDefault="00BC6421" w:rsidP="00BC6421">
            <w:pPr>
              <w:jc w:val="both"/>
              <w:rPr>
                <w:rFonts w:cs="Arial"/>
                <w:sz w:val="20"/>
              </w:rPr>
            </w:pPr>
            <w:r>
              <w:rPr>
                <w:rFonts w:cs="Arial"/>
                <w:sz w:val="20"/>
              </w:rPr>
              <w:t>All practice-</w:t>
            </w:r>
            <w:r w:rsidRPr="008B4DA8">
              <w:rPr>
                <w:rFonts w:cs="Arial"/>
                <w:sz w:val="20"/>
              </w:rPr>
              <w:t>based modules</w:t>
            </w:r>
          </w:p>
          <w:p w14:paraId="2581970D" w14:textId="77777777" w:rsidR="00BC6421" w:rsidRPr="008B4DA8" w:rsidRDefault="00BC6421" w:rsidP="00554BC8">
            <w:pPr>
              <w:jc w:val="both"/>
              <w:rPr>
                <w:rFonts w:cs="Arial"/>
                <w:sz w:val="20"/>
              </w:rPr>
            </w:pPr>
            <w:r w:rsidRPr="008B4DA8">
              <w:rPr>
                <w:rFonts w:cs="Arial"/>
                <w:sz w:val="20"/>
              </w:rPr>
              <w:t xml:space="preserve">People in Action: work with Individuals and Groups </w:t>
            </w:r>
          </w:p>
          <w:p w14:paraId="778C93B4" w14:textId="77777777" w:rsidR="00BC6421" w:rsidRPr="008B4DA8" w:rsidRDefault="00BC6421" w:rsidP="00554BC8">
            <w:pPr>
              <w:jc w:val="both"/>
              <w:rPr>
                <w:rFonts w:cs="Arial"/>
                <w:sz w:val="20"/>
              </w:rPr>
            </w:pPr>
          </w:p>
        </w:tc>
      </w:tr>
      <w:tr w:rsidR="00BC6421" w:rsidRPr="008B4DA8" w14:paraId="0CAA5F40"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3885CFFC" w14:textId="37D5485E" w:rsidR="00BC6421" w:rsidRPr="008B4DA8" w:rsidRDefault="00BC6421" w:rsidP="00554BC8">
            <w:pPr>
              <w:jc w:val="both"/>
              <w:rPr>
                <w:rFonts w:cs="Arial"/>
                <w:sz w:val="20"/>
              </w:rPr>
            </w:pPr>
            <w:r>
              <w:rPr>
                <w:rFonts w:cs="Arial"/>
                <w:sz w:val="20"/>
              </w:rPr>
              <w:t xml:space="preserve">CLO24 </w:t>
            </w:r>
            <w:r w:rsidRPr="008B4DA8">
              <w:rPr>
                <w:rFonts w:cs="Arial"/>
                <w:sz w:val="20"/>
              </w:rPr>
              <w:t>Demonstrates effective face to face skills working with young people, and others.</w:t>
            </w:r>
          </w:p>
        </w:tc>
        <w:tc>
          <w:tcPr>
            <w:tcW w:w="4464" w:type="dxa"/>
            <w:tcBorders>
              <w:top w:val="single" w:sz="4" w:space="0" w:color="auto"/>
              <w:left w:val="single" w:sz="4" w:space="0" w:color="auto"/>
              <w:bottom w:val="single" w:sz="4" w:space="0" w:color="auto"/>
              <w:right w:val="single" w:sz="4" w:space="0" w:color="auto"/>
            </w:tcBorders>
          </w:tcPr>
          <w:p w14:paraId="0088DB8E" w14:textId="77777777" w:rsidR="00BC6421" w:rsidRPr="008B4DA8" w:rsidRDefault="00BC6421" w:rsidP="00BC6421">
            <w:pPr>
              <w:jc w:val="both"/>
              <w:rPr>
                <w:rFonts w:cs="Arial"/>
                <w:sz w:val="20"/>
              </w:rPr>
            </w:pPr>
            <w:r>
              <w:rPr>
                <w:rFonts w:cs="Arial"/>
                <w:sz w:val="20"/>
              </w:rPr>
              <w:t>All practice-</w:t>
            </w:r>
            <w:r w:rsidRPr="008B4DA8">
              <w:rPr>
                <w:rFonts w:cs="Arial"/>
                <w:sz w:val="20"/>
              </w:rPr>
              <w:t>based modules</w:t>
            </w:r>
          </w:p>
          <w:p w14:paraId="1D5B845F" w14:textId="77777777" w:rsidR="00BC6421" w:rsidRPr="008B4DA8" w:rsidRDefault="00BC6421" w:rsidP="00554BC8">
            <w:pPr>
              <w:jc w:val="both"/>
              <w:rPr>
                <w:rFonts w:cs="Arial"/>
                <w:sz w:val="20"/>
              </w:rPr>
            </w:pPr>
            <w:r>
              <w:rPr>
                <w:rFonts w:cs="Arial"/>
                <w:sz w:val="20"/>
              </w:rPr>
              <w:t>People in Action</w:t>
            </w:r>
            <w:r w:rsidRPr="008B4DA8">
              <w:rPr>
                <w:rFonts w:cs="Arial"/>
                <w:sz w:val="20"/>
              </w:rPr>
              <w:t xml:space="preserve"> </w:t>
            </w:r>
          </w:p>
          <w:p w14:paraId="5AF1E350" w14:textId="77777777" w:rsidR="00BC6421" w:rsidRPr="008B4DA8" w:rsidRDefault="00BC6421" w:rsidP="00BC6421">
            <w:pPr>
              <w:jc w:val="both"/>
              <w:rPr>
                <w:rFonts w:cs="Arial"/>
                <w:sz w:val="20"/>
              </w:rPr>
            </w:pPr>
            <w:r w:rsidRPr="008B4DA8">
              <w:rPr>
                <w:rFonts w:cs="Arial"/>
                <w:sz w:val="20"/>
              </w:rPr>
              <w:t>Leadership and Management in Professional Contexts</w:t>
            </w:r>
          </w:p>
        </w:tc>
      </w:tr>
      <w:tr w:rsidR="00BC6421" w:rsidRPr="008B4DA8" w14:paraId="1531A32F"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7F14DAAF" w14:textId="6B7ADF44" w:rsidR="00BC6421" w:rsidRPr="008B4DA8" w:rsidRDefault="00BC6421" w:rsidP="00554BC8">
            <w:pPr>
              <w:jc w:val="both"/>
              <w:rPr>
                <w:rFonts w:cs="Arial"/>
                <w:sz w:val="20"/>
              </w:rPr>
            </w:pPr>
            <w:r>
              <w:rPr>
                <w:rFonts w:cs="Arial"/>
                <w:sz w:val="20"/>
              </w:rPr>
              <w:t xml:space="preserve">CLO25 </w:t>
            </w:r>
            <w:r w:rsidRPr="008B4DA8">
              <w:rPr>
                <w:rFonts w:cs="Arial"/>
                <w:sz w:val="20"/>
              </w:rPr>
              <w:t>Works developmentally in, and with, communities and community groups.</w:t>
            </w:r>
          </w:p>
        </w:tc>
        <w:tc>
          <w:tcPr>
            <w:tcW w:w="4464" w:type="dxa"/>
            <w:tcBorders>
              <w:top w:val="single" w:sz="4" w:space="0" w:color="auto"/>
              <w:left w:val="single" w:sz="4" w:space="0" w:color="auto"/>
              <w:bottom w:val="single" w:sz="4" w:space="0" w:color="auto"/>
              <w:right w:val="single" w:sz="4" w:space="0" w:color="auto"/>
            </w:tcBorders>
          </w:tcPr>
          <w:p w14:paraId="5E1673DE" w14:textId="77777777" w:rsidR="00BC6421" w:rsidRPr="008B4DA8" w:rsidRDefault="00BC6421" w:rsidP="00554BC8">
            <w:pPr>
              <w:jc w:val="both"/>
              <w:rPr>
                <w:rFonts w:cs="Arial"/>
                <w:sz w:val="20"/>
              </w:rPr>
            </w:pPr>
            <w:r w:rsidRPr="008B4DA8">
              <w:rPr>
                <w:rFonts w:cs="Arial"/>
                <w:sz w:val="20"/>
              </w:rPr>
              <w:t xml:space="preserve">People in Action: work with Individuals and Groups </w:t>
            </w:r>
          </w:p>
          <w:p w14:paraId="1E67F513" w14:textId="77777777" w:rsidR="00BC6421" w:rsidRPr="008B4DA8" w:rsidRDefault="00BC6421" w:rsidP="00554BC8">
            <w:pPr>
              <w:jc w:val="both"/>
              <w:rPr>
                <w:rFonts w:cs="Arial"/>
                <w:sz w:val="20"/>
              </w:rPr>
            </w:pPr>
            <w:r>
              <w:rPr>
                <w:rFonts w:cs="Arial"/>
                <w:sz w:val="20"/>
              </w:rPr>
              <w:t>Working in Community Settings</w:t>
            </w:r>
          </w:p>
        </w:tc>
      </w:tr>
      <w:tr w:rsidR="00BC6421" w:rsidRPr="008B4DA8" w14:paraId="5B1F9244"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2C4E0E47" w14:textId="5EA6229E" w:rsidR="00BC6421" w:rsidRPr="008B4DA8" w:rsidRDefault="00BC6421" w:rsidP="00554BC8">
            <w:pPr>
              <w:jc w:val="both"/>
              <w:rPr>
                <w:rFonts w:cs="Arial"/>
                <w:sz w:val="20"/>
              </w:rPr>
            </w:pPr>
            <w:r>
              <w:rPr>
                <w:rFonts w:cs="Arial"/>
                <w:sz w:val="20"/>
              </w:rPr>
              <w:t xml:space="preserve">CLO26 </w:t>
            </w:r>
            <w:r w:rsidRPr="008B4DA8">
              <w:rPr>
                <w:rFonts w:cs="Arial"/>
                <w:sz w:val="20"/>
              </w:rPr>
              <w:t>Demonstrates professional competence and integrity.</w:t>
            </w:r>
          </w:p>
        </w:tc>
        <w:tc>
          <w:tcPr>
            <w:tcW w:w="4464" w:type="dxa"/>
            <w:tcBorders>
              <w:top w:val="single" w:sz="4" w:space="0" w:color="auto"/>
              <w:left w:val="single" w:sz="4" w:space="0" w:color="auto"/>
              <w:bottom w:val="single" w:sz="4" w:space="0" w:color="auto"/>
              <w:right w:val="single" w:sz="4" w:space="0" w:color="auto"/>
            </w:tcBorders>
          </w:tcPr>
          <w:p w14:paraId="49868937"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 </w:t>
            </w:r>
          </w:p>
          <w:p w14:paraId="494AF180" w14:textId="77777777" w:rsidR="00BC6421" w:rsidRPr="008B4DA8" w:rsidRDefault="00BC6421" w:rsidP="00554BC8">
            <w:pPr>
              <w:jc w:val="both"/>
              <w:rPr>
                <w:rFonts w:cs="Arial"/>
                <w:sz w:val="20"/>
              </w:rPr>
            </w:pPr>
            <w:r w:rsidRPr="008B4DA8">
              <w:rPr>
                <w:rFonts w:cs="Arial"/>
                <w:sz w:val="20"/>
              </w:rPr>
              <w:t xml:space="preserve">People in Action: work with Individuals and Groups </w:t>
            </w:r>
          </w:p>
        </w:tc>
      </w:tr>
      <w:tr w:rsidR="00BC6421" w:rsidRPr="008B4DA8" w14:paraId="6B066388"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653B2194" w14:textId="300458CE" w:rsidR="00BC6421" w:rsidRPr="008B4DA8" w:rsidRDefault="00BC6421" w:rsidP="00554BC8">
            <w:pPr>
              <w:jc w:val="both"/>
              <w:rPr>
                <w:rFonts w:cs="Arial"/>
                <w:sz w:val="20"/>
              </w:rPr>
            </w:pPr>
            <w:r>
              <w:rPr>
                <w:rFonts w:cs="Arial"/>
                <w:sz w:val="20"/>
              </w:rPr>
              <w:t xml:space="preserve">CLO27 </w:t>
            </w:r>
            <w:r w:rsidRPr="008B4DA8">
              <w:rPr>
                <w:rFonts w:cs="Arial"/>
                <w:sz w:val="20"/>
              </w:rPr>
              <w:t>Plans, develops and contributes to the management of youth and community work programmes.</w:t>
            </w:r>
          </w:p>
        </w:tc>
        <w:tc>
          <w:tcPr>
            <w:tcW w:w="4464" w:type="dxa"/>
            <w:tcBorders>
              <w:top w:val="single" w:sz="4" w:space="0" w:color="auto"/>
              <w:left w:val="single" w:sz="4" w:space="0" w:color="auto"/>
              <w:bottom w:val="single" w:sz="4" w:space="0" w:color="auto"/>
              <w:right w:val="single" w:sz="4" w:space="0" w:color="auto"/>
            </w:tcBorders>
          </w:tcPr>
          <w:p w14:paraId="288413AB" w14:textId="77777777" w:rsidR="00BC6421" w:rsidRPr="008B4DA8" w:rsidRDefault="00BC6421" w:rsidP="00BC6421">
            <w:pPr>
              <w:jc w:val="both"/>
              <w:rPr>
                <w:rFonts w:cs="Arial"/>
                <w:sz w:val="20"/>
              </w:rPr>
            </w:pPr>
            <w:r w:rsidRPr="008B4DA8">
              <w:rPr>
                <w:rFonts w:cs="Arial"/>
                <w:sz w:val="20"/>
              </w:rPr>
              <w:t>Leadership and Management in Professional Contexts</w:t>
            </w:r>
          </w:p>
          <w:p w14:paraId="6DF345FC" w14:textId="77777777" w:rsidR="00BC6421" w:rsidRDefault="00BC6421" w:rsidP="00554BC8">
            <w:pPr>
              <w:jc w:val="both"/>
              <w:rPr>
                <w:rFonts w:cs="Arial"/>
                <w:sz w:val="20"/>
              </w:rPr>
            </w:pPr>
            <w:r>
              <w:rPr>
                <w:rFonts w:cs="Arial"/>
                <w:sz w:val="20"/>
              </w:rPr>
              <w:t>Working in Community Settings</w:t>
            </w:r>
          </w:p>
          <w:p w14:paraId="28D0BD99" w14:textId="77777777" w:rsidR="00BC6421" w:rsidRPr="008B4DA8" w:rsidRDefault="00BC6421" w:rsidP="00554BC8">
            <w:pPr>
              <w:jc w:val="both"/>
              <w:rPr>
                <w:rFonts w:cs="Arial"/>
                <w:sz w:val="20"/>
              </w:rPr>
            </w:pPr>
            <w:r>
              <w:rPr>
                <w:rFonts w:cs="Arial"/>
                <w:sz w:val="20"/>
              </w:rPr>
              <w:t>Theorising for Advanced Practitioners</w:t>
            </w:r>
          </w:p>
        </w:tc>
      </w:tr>
      <w:tr w:rsidR="00BC6421" w:rsidRPr="008B4DA8" w14:paraId="63D08B0D"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6F254726" w14:textId="6AE2B436" w:rsidR="00BC6421" w:rsidRPr="008B4DA8" w:rsidRDefault="00BC6421" w:rsidP="00554BC8">
            <w:pPr>
              <w:jc w:val="both"/>
              <w:rPr>
                <w:rFonts w:cs="Arial"/>
                <w:sz w:val="20"/>
              </w:rPr>
            </w:pPr>
            <w:r>
              <w:rPr>
                <w:rFonts w:cs="Arial"/>
                <w:sz w:val="20"/>
              </w:rPr>
              <w:t xml:space="preserve">CLO28 </w:t>
            </w:r>
            <w:r w:rsidRPr="008B4DA8">
              <w:rPr>
                <w:rFonts w:cs="Arial"/>
                <w:sz w:val="20"/>
              </w:rPr>
              <w:t>Supports and develops effective, efficient and ethical practices in youth and community work.</w:t>
            </w:r>
          </w:p>
        </w:tc>
        <w:tc>
          <w:tcPr>
            <w:tcW w:w="4464" w:type="dxa"/>
            <w:tcBorders>
              <w:top w:val="single" w:sz="4" w:space="0" w:color="auto"/>
              <w:left w:val="single" w:sz="4" w:space="0" w:color="auto"/>
              <w:bottom w:val="single" w:sz="4" w:space="0" w:color="auto"/>
              <w:right w:val="single" w:sz="4" w:space="0" w:color="auto"/>
            </w:tcBorders>
          </w:tcPr>
          <w:p w14:paraId="042768A1"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p w14:paraId="76E5AAA6" w14:textId="77777777" w:rsidR="00BC6421" w:rsidRPr="008B4DA8" w:rsidRDefault="00BC6421" w:rsidP="00554BC8">
            <w:pPr>
              <w:jc w:val="both"/>
              <w:rPr>
                <w:rFonts w:cs="Arial"/>
                <w:sz w:val="20"/>
              </w:rPr>
            </w:pPr>
            <w:r>
              <w:rPr>
                <w:rFonts w:cs="Arial"/>
                <w:sz w:val="20"/>
              </w:rPr>
              <w:t>People in Action</w:t>
            </w:r>
            <w:r w:rsidRPr="008B4DA8">
              <w:rPr>
                <w:rFonts w:cs="Arial"/>
                <w:sz w:val="20"/>
              </w:rPr>
              <w:t xml:space="preserve">  </w:t>
            </w:r>
          </w:p>
        </w:tc>
      </w:tr>
      <w:tr w:rsidR="00BC6421" w:rsidRPr="008B4DA8" w14:paraId="259ABC75"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52736F87" w14:textId="3FBC162D" w:rsidR="00BC6421" w:rsidRPr="008B4DA8" w:rsidRDefault="00BC6421" w:rsidP="00554BC8">
            <w:pPr>
              <w:jc w:val="both"/>
              <w:rPr>
                <w:rFonts w:cs="Arial"/>
                <w:sz w:val="20"/>
              </w:rPr>
            </w:pPr>
            <w:r>
              <w:rPr>
                <w:rFonts w:cs="Arial"/>
                <w:sz w:val="20"/>
              </w:rPr>
              <w:t xml:space="preserve">CLO29 </w:t>
            </w:r>
            <w:r w:rsidRPr="008B4DA8">
              <w:rPr>
                <w:rFonts w:cs="Arial"/>
                <w:sz w:val="20"/>
              </w:rPr>
              <w:t>Demonstrates a commitment to, and the abilities of, a reflective practitioner who can link theory with practice</w:t>
            </w:r>
          </w:p>
        </w:tc>
        <w:tc>
          <w:tcPr>
            <w:tcW w:w="4464" w:type="dxa"/>
            <w:tcBorders>
              <w:top w:val="single" w:sz="4" w:space="0" w:color="auto"/>
              <w:left w:val="single" w:sz="4" w:space="0" w:color="auto"/>
              <w:bottom w:val="single" w:sz="4" w:space="0" w:color="auto"/>
              <w:right w:val="single" w:sz="4" w:space="0" w:color="auto"/>
            </w:tcBorders>
          </w:tcPr>
          <w:p w14:paraId="318A66E9"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tc>
      </w:tr>
      <w:tr w:rsidR="00BC6421" w:rsidRPr="008B4DA8" w14:paraId="2F32B399"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3C3C96BE" w14:textId="73DF37FD" w:rsidR="00BC6421" w:rsidRPr="008B4DA8" w:rsidRDefault="00BC6421" w:rsidP="00554BC8">
            <w:pPr>
              <w:jc w:val="both"/>
              <w:rPr>
                <w:rFonts w:cs="Arial"/>
                <w:sz w:val="20"/>
              </w:rPr>
            </w:pPr>
            <w:r>
              <w:rPr>
                <w:rFonts w:cs="Arial"/>
                <w:sz w:val="20"/>
              </w:rPr>
              <w:t xml:space="preserve">CLO30 </w:t>
            </w:r>
            <w:r w:rsidRPr="008B4DA8">
              <w:rPr>
                <w:rFonts w:cs="Arial"/>
                <w:sz w:val="20"/>
              </w:rPr>
              <w:t xml:space="preserve">Develops research skills appropriate to youth and community work including skills related to needs analysis and </w:t>
            </w:r>
            <w:r>
              <w:rPr>
                <w:rFonts w:cs="Arial"/>
                <w:sz w:val="20"/>
              </w:rPr>
              <w:t>practice-based</w:t>
            </w:r>
            <w:r w:rsidRPr="008B4DA8">
              <w:rPr>
                <w:rFonts w:cs="Arial"/>
                <w:sz w:val="20"/>
              </w:rPr>
              <w:t xml:space="preserve"> research.</w:t>
            </w:r>
          </w:p>
        </w:tc>
        <w:tc>
          <w:tcPr>
            <w:tcW w:w="4464" w:type="dxa"/>
            <w:tcBorders>
              <w:top w:val="single" w:sz="4" w:space="0" w:color="auto"/>
              <w:left w:val="single" w:sz="4" w:space="0" w:color="auto"/>
              <w:bottom w:val="single" w:sz="4" w:space="0" w:color="auto"/>
              <w:right w:val="single" w:sz="4" w:space="0" w:color="auto"/>
            </w:tcBorders>
          </w:tcPr>
          <w:p w14:paraId="7B6FC060" w14:textId="77777777" w:rsidR="00BC6421" w:rsidRPr="008B4DA8" w:rsidRDefault="00BC6421" w:rsidP="00BC6421">
            <w:pPr>
              <w:jc w:val="both"/>
              <w:rPr>
                <w:rFonts w:cs="Arial"/>
                <w:sz w:val="20"/>
              </w:rPr>
            </w:pPr>
            <w:r w:rsidRPr="008B4DA8">
              <w:rPr>
                <w:rFonts w:cs="Arial"/>
                <w:sz w:val="20"/>
              </w:rPr>
              <w:t>Research Methodologies</w:t>
            </w:r>
          </w:p>
          <w:p w14:paraId="09341C6A" w14:textId="77777777" w:rsidR="00BC6421" w:rsidRPr="008B4DA8" w:rsidRDefault="00BC6421" w:rsidP="00554BC8">
            <w:pPr>
              <w:jc w:val="both"/>
              <w:rPr>
                <w:rFonts w:cs="Arial"/>
                <w:sz w:val="20"/>
              </w:rPr>
            </w:pPr>
            <w:r w:rsidRPr="008B4DA8">
              <w:rPr>
                <w:rFonts w:cs="Arial"/>
                <w:sz w:val="20"/>
              </w:rPr>
              <w:t>Major Study</w:t>
            </w:r>
          </w:p>
        </w:tc>
      </w:tr>
      <w:tr w:rsidR="00BC6421" w:rsidRPr="008B4DA8" w14:paraId="4DC09C59"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4720CB0D" w14:textId="4F3E74C5" w:rsidR="00BC6421" w:rsidRPr="008B4DA8" w:rsidRDefault="00BC6421" w:rsidP="00554BC8">
            <w:pPr>
              <w:jc w:val="both"/>
              <w:rPr>
                <w:rFonts w:cs="Arial"/>
                <w:sz w:val="20"/>
              </w:rPr>
            </w:pPr>
            <w:r>
              <w:rPr>
                <w:rFonts w:cs="Arial"/>
                <w:sz w:val="20"/>
              </w:rPr>
              <w:t xml:space="preserve">CLO31 </w:t>
            </w:r>
            <w:r w:rsidRPr="008B4DA8">
              <w:rPr>
                <w:rFonts w:cs="Arial"/>
                <w:sz w:val="20"/>
              </w:rPr>
              <w:t>Undertakes development projects specific to youth and community work practice.</w:t>
            </w:r>
          </w:p>
        </w:tc>
        <w:tc>
          <w:tcPr>
            <w:tcW w:w="4464" w:type="dxa"/>
            <w:tcBorders>
              <w:top w:val="single" w:sz="4" w:space="0" w:color="auto"/>
              <w:left w:val="single" w:sz="4" w:space="0" w:color="auto"/>
              <w:bottom w:val="single" w:sz="4" w:space="0" w:color="auto"/>
              <w:right w:val="single" w:sz="4" w:space="0" w:color="auto"/>
            </w:tcBorders>
          </w:tcPr>
          <w:p w14:paraId="501A7CBA" w14:textId="77777777" w:rsidR="00BC6421" w:rsidRPr="008B4DA8" w:rsidRDefault="00BC6421" w:rsidP="00554BC8">
            <w:pPr>
              <w:jc w:val="both"/>
              <w:rPr>
                <w:rFonts w:cs="Arial"/>
                <w:sz w:val="20"/>
              </w:rPr>
            </w:pPr>
            <w:r w:rsidRPr="008B4DA8">
              <w:rPr>
                <w:rFonts w:cs="Arial"/>
                <w:sz w:val="20"/>
              </w:rPr>
              <w:t>Foundations for Practice</w:t>
            </w:r>
          </w:p>
          <w:p w14:paraId="232FBE98"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 </w:t>
            </w:r>
          </w:p>
          <w:p w14:paraId="79AF8A95" w14:textId="77777777" w:rsidR="00BC6421" w:rsidRPr="008B4DA8" w:rsidRDefault="00BC6421" w:rsidP="00BC6421">
            <w:pPr>
              <w:jc w:val="both"/>
              <w:rPr>
                <w:rFonts w:cs="Arial"/>
                <w:sz w:val="20"/>
              </w:rPr>
            </w:pPr>
            <w:r w:rsidRPr="008B4DA8">
              <w:rPr>
                <w:rFonts w:cs="Arial"/>
                <w:sz w:val="20"/>
              </w:rPr>
              <w:t>Research Methodologies</w:t>
            </w:r>
          </w:p>
          <w:p w14:paraId="5E646D43" w14:textId="77777777" w:rsidR="00BC6421" w:rsidRPr="008B4DA8" w:rsidRDefault="00BC6421" w:rsidP="00554BC8">
            <w:pPr>
              <w:jc w:val="both"/>
              <w:rPr>
                <w:rFonts w:cs="Arial"/>
                <w:sz w:val="20"/>
              </w:rPr>
            </w:pPr>
            <w:r w:rsidRPr="008B4DA8">
              <w:rPr>
                <w:rFonts w:cs="Arial"/>
                <w:sz w:val="20"/>
              </w:rPr>
              <w:t>Major Study</w:t>
            </w:r>
          </w:p>
        </w:tc>
      </w:tr>
      <w:tr w:rsidR="00BC6421" w:rsidRPr="008B4DA8" w14:paraId="6DA7F1EC" w14:textId="77777777" w:rsidTr="00BC6421">
        <w:tblPrEx>
          <w:tblCellMar>
            <w:top w:w="0" w:type="dxa"/>
            <w:bottom w:w="0" w:type="dxa"/>
          </w:tblCellMar>
        </w:tblPrEx>
        <w:tc>
          <w:tcPr>
            <w:tcW w:w="4482" w:type="dxa"/>
            <w:tcBorders>
              <w:top w:val="single" w:sz="4" w:space="0" w:color="auto"/>
              <w:left w:val="single" w:sz="4" w:space="0" w:color="auto"/>
              <w:bottom w:val="single" w:sz="4" w:space="0" w:color="auto"/>
              <w:right w:val="single" w:sz="4" w:space="0" w:color="auto"/>
            </w:tcBorders>
          </w:tcPr>
          <w:p w14:paraId="713AE995" w14:textId="5D5DF6CC" w:rsidR="00BC6421" w:rsidRPr="008B4DA8" w:rsidRDefault="00BC6421" w:rsidP="00554BC8">
            <w:pPr>
              <w:jc w:val="both"/>
              <w:rPr>
                <w:rFonts w:cs="Arial"/>
                <w:sz w:val="20"/>
              </w:rPr>
            </w:pPr>
            <w:r>
              <w:rPr>
                <w:rFonts w:cs="Arial"/>
                <w:sz w:val="20"/>
              </w:rPr>
              <w:t xml:space="preserve">CLO32 </w:t>
            </w:r>
            <w:r w:rsidRPr="008B4DA8">
              <w:rPr>
                <w:rFonts w:cs="Arial"/>
                <w:sz w:val="20"/>
              </w:rPr>
              <w:t>Evaluates own, and others’, professional practice.</w:t>
            </w:r>
          </w:p>
        </w:tc>
        <w:tc>
          <w:tcPr>
            <w:tcW w:w="4464" w:type="dxa"/>
            <w:tcBorders>
              <w:top w:val="single" w:sz="4" w:space="0" w:color="auto"/>
              <w:left w:val="single" w:sz="4" w:space="0" w:color="auto"/>
              <w:bottom w:val="single" w:sz="4" w:space="0" w:color="auto"/>
              <w:right w:val="single" w:sz="4" w:space="0" w:color="auto"/>
            </w:tcBorders>
          </w:tcPr>
          <w:p w14:paraId="7C1FDE81" w14:textId="77777777" w:rsidR="00BC6421" w:rsidRPr="008B4DA8" w:rsidRDefault="00BC6421" w:rsidP="00554BC8">
            <w:pPr>
              <w:jc w:val="both"/>
              <w:rPr>
                <w:rFonts w:cs="Arial"/>
                <w:sz w:val="20"/>
              </w:rPr>
            </w:pPr>
            <w:r w:rsidRPr="008B4DA8">
              <w:rPr>
                <w:rFonts w:cs="Arial"/>
                <w:sz w:val="20"/>
              </w:rPr>
              <w:t xml:space="preserve">All </w:t>
            </w:r>
            <w:r>
              <w:rPr>
                <w:rFonts w:cs="Arial"/>
                <w:sz w:val="20"/>
              </w:rPr>
              <w:t>practice-based</w:t>
            </w:r>
            <w:r w:rsidRPr="008B4DA8">
              <w:rPr>
                <w:rFonts w:cs="Arial"/>
                <w:sz w:val="20"/>
              </w:rPr>
              <w:t xml:space="preserve"> modules</w:t>
            </w:r>
          </w:p>
        </w:tc>
      </w:tr>
    </w:tbl>
    <w:p w14:paraId="76EE5E28" w14:textId="77777777" w:rsidR="00C25C7D" w:rsidRPr="008B4DA8" w:rsidRDefault="00C25C7D" w:rsidP="00360FB0">
      <w:pPr>
        <w:jc w:val="both"/>
        <w:rPr>
          <w:rFonts w:cs="Arial"/>
          <w:sz w:val="20"/>
        </w:rPr>
      </w:pPr>
    </w:p>
    <w:p w14:paraId="791750F4" w14:textId="77777777" w:rsidR="00C25C7D" w:rsidRPr="008B4DA8" w:rsidRDefault="00C25C7D" w:rsidP="00360FB0">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4469"/>
      </w:tblGrid>
      <w:tr w:rsidR="00C25C7D" w:rsidRPr="008B4DA8" w14:paraId="589E6AED" w14:textId="77777777">
        <w:tblPrEx>
          <w:tblCellMar>
            <w:top w:w="0" w:type="dxa"/>
            <w:bottom w:w="0" w:type="dxa"/>
          </w:tblCellMar>
        </w:tblPrEx>
        <w:tc>
          <w:tcPr>
            <w:tcW w:w="4536" w:type="dxa"/>
          </w:tcPr>
          <w:p w14:paraId="0E89A14C" w14:textId="77777777" w:rsidR="00C25C7D" w:rsidRPr="008B4DA8" w:rsidRDefault="00C25C7D" w:rsidP="00360FB0">
            <w:pPr>
              <w:jc w:val="both"/>
              <w:rPr>
                <w:rFonts w:cs="Arial"/>
                <w:b/>
                <w:sz w:val="20"/>
              </w:rPr>
            </w:pPr>
            <w:r w:rsidRPr="008B4DA8">
              <w:rPr>
                <w:rFonts w:cs="Arial"/>
                <w:b/>
                <w:sz w:val="20"/>
              </w:rPr>
              <w:t xml:space="preserve">Course Outcomes </w:t>
            </w:r>
          </w:p>
          <w:p w14:paraId="50FD8F70" w14:textId="00A94ABB" w:rsidR="00C25C7D" w:rsidRPr="00BC6421" w:rsidRDefault="00BC6421" w:rsidP="00360FB0">
            <w:pPr>
              <w:jc w:val="both"/>
              <w:rPr>
                <w:rFonts w:cs="Arial"/>
                <w:b/>
                <w:sz w:val="20"/>
              </w:rPr>
            </w:pPr>
            <w:r w:rsidRPr="00BC6421">
              <w:rPr>
                <w:rFonts w:cs="Arial"/>
                <w:b/>
                <w:sz w:val="20"/>
              </w:rPr>
              <w:t>Transferable/Key Skills</w:t>
            </w:r>
          </w:p>
        </w:tc>
        <w:tc>
          <w:tcPr>
            <w:tcW w:w="4536" w:type="dxa"/>
          </w:tcPr>
          <w:p w14:paraId="2A74A9AF" w14:textId="77777777" w:rsidR="00C25C7D" w:rsidRPr="008B4DA8" w:rsidRDefault="00C25C7D" w:rsidP="00360FB0">
            <w:pPr>
              <w:jc w:val="both"/>
              <w:rPr>
                <w:rFonts w:cs="Arial"/>
                <w:sz w:val="20"/>
              </w:rPr>
            </w:pPr>
            <w:r w:rsidRPr="008B4DA8">
              <w:rPr>
                <w:rFonts w:cs="Arial"/>
                <w:b/>
                <w:sz w:val="20"/>
              </w:rPr>
              <w:t>Modules:</w:t>
            </w:r>
          </w:p>
        </w:tc>
      </w:tr>
      <w:tr w:rsidR="00C25C7D" w:rsidRPr="008B4DA8" w14:paraId="454FD4D1" w14:textId="77777777">
        <w:tblPrEx>
          <w:tblCellMar>
            <w:top w:w="0" w:type="dxa"/>
            <w:bottom w:w="0" w:type="dxa"/>
          </w:tblCellMar>
        </w:tblPrEx>
        <w:tc>
          <w:tcPr>
            <w:tcW w:w="4536" w:type="dxa"/>
          </w:tcPr>
          <w:p w14:paraId="5078E375" w14:textId="6653165E" w:rsidR="00C25C7D" w:rsidRPr="008B4DA8" w:rsidRDefault="00BC6421" w:rsidP="00360FB0">
            <w:pPr>
              <w:jc w:val="both"/>
              <w:rPr>
                <w:rFonts w:cs="Arial"/>
                <w:sz w:val="20"/>
              </w:rPr>
            </w:pPr>
            <w:r>
              <w:rPr>
                <w:rFonts w:cs="Arial"/>
                <w:sz w:val="20"/>
              </w:rPr>
              <w:t xml:space="preserve">CLO33 </w:t>
            </w:r>
            <w:r w:rsidR="00C25C7D" w:rsidRPr="008B4DA8">
              <w:rPr>
                <w:rFonts w:cs="Arial"/>
                <w:sz w:val="20"/>
              </w:rPr>
              <w:t>Develops confidence and competence in the use of ICT.</w:t>
            </w:r>
          </w:p>
        </w:tc>
        <w:tc>
          <w:tcPr>
            <w:tcW w:w="4536" w:type="dxa"/>
          </w:tcPr>
          <w:p w14:paraId="48BAE5C8" w14:textId="77777777" w:rsidR="00C25C7D" w:rsidRPr="008B4DA8" w:rsidRDefault="00C25C7D" w:rsidP="00360FB0">
            <w:pPr>
              <w:jc w:val="both"/>
              <w:rPr>
                <w:rFonts w:cs="Arial"/>
                <w:sz w:val="20"/>
              </w:rPr>
            </w:pPr>
            <w:r w:rsidRPr="008B4DA8">
              <w:rPr>
                <w:rFonts w:cs="Arial"/>
                <w:sz w:val="20"/>
              </w:rPr>
              <w:t>All modules</w:t>
            </w:r>
          </w:p>
          <w:p w14:paraId="450E012C" w14:textId="77777777" w:rsidR="00C25C7D" w:rsidRPr="008B4DA8" w:rsidRDefault="00BF41C3" w:rsidP="00360FB0">
            <w:pPr>
              <w:jc w:val="both"/>
              <w:rPr>
                <w:rFonts w:cs="Arial"/>
                <w:sz w:val="20"/>
              </w:rPr>
            </w:pPr>
            <w:r>
              <w:rPr>
                <w:rFonts w:cs="Arial"/>
                <w:sz w:val="20"/>
              </w:rPr>
              <w:t>Theories and Strategies for Learning</w:t>
            </w:r>
          </w:p>
        </w:tc>
      </w:tr>
      <w:tr w:rsidR="00C25C7D" w:rsidRPr="008B4DA8" w14:paraId="56C79727" w14:textId="77777777">
        <w:tblPrEx>
          <w:tblCellMar>
            <w:top w:w="0" w:type="dxa"/>
            <w:bottom w:w="0" w:type="dxa"/>
          </w:tblCellMar>
        </w:tblPrEx>
        <w:tc>
          <w:tcPr>
            <w:tcW w:w="4536" w:type="dxa"/>
          </w:tcPr>
          <w:p w14:paraId="22A43BFB" w14:textId="0F87AB33" w:rsidR="00C25C7D" w:rsidRPr="008B4DA8" w:rsidRDefault="00BC6421" w:rsidP="00360FB0">
            <w:pPr>
              <w:jc w:val="both"/>
              <w:rPr>
                <w:rFonts w:cs="Arial"/>
                <w:sz w:val="20"/>
              </w:rPr>
            </w:pPr>
            <w:r>
              <w:rPr>
                <w:rFonts w:cs="Arial"/>
                <w:sz w:val="20"/>
              </w:rPr>
              <w:t xml:space="preserve">CLO34 </w:t>
            </w:r>
            <w:r w:rsidR="00C25C7D" w:rsidRPr="008B4DA8">
              <w:rPr>
                <w:rFonts w:cs="Arial"/>
                <w:sz w:val="20"/>
              </w:rPr>
              <w:t>Identifies strengths and weaknesses in arguments and opinions</w:t>
            </w:r>
          </w:p>
        </w:tc>
        <w:tc>
          <w:tcPr>
            <w:tcW w:w="4536" w:type="dxa"/>
          </w:tcPr>
          <w:p w14:paraId="119DCECC" w14:textId="77777777" w:rsidR="00C25C7D" w:rsidRPr="008B4DA8" w:rsidRDefault="00BF41C3" w:rsidP="00360FB0">
            <w:pPr>
              <w:tabs>
                <w:tab w:val="left" w:pos="9923"/>
              </w:tabs>
              <w:jc w:val="both"/>
              <w:rPr>
                <w:rFonts w:cs="Arial"/>
                <w:sz w:val="20"/>
              </w:rPr>
            </w:pPr>
            <w:r>
              <w:rPr>
                <w:rFonts w:cs="Arial"/>
                <w:sz w:val="20"/>
              </w:rPr>
              <w:t>Theories and Strategies for Learning</w:t>
            </w:r>
            <w:r w:rsidR="00C25C7D" w:rsidRPr="008B4DA8">
              <w:rPr>
                <w:rFonts w:cs="Arial"/>
                <w:sz w:val="20"/>
              </w:rPr>
              <w:t xml:space="preserve"> </w:t>
            </w:r>
          </w:p>
          <w:p w14:paraId="6E132DF1" w14:textId="77777777" w:rsidR="00C25C7D" w:rsidRPr="008B4DA8" w:rsidRDefault="00C25C7D" w:rsidP="00360FB0">
            <w:pPr>
              <w:tabs>
                <w:tab w:val="left" w:pos="9923"/>
              </w:tabs>
              <w:jc w:val="both"/>
              <w:rPr>
                <w:rFonts w:cs="Arial"/>
                <w:sz w:val="20"/>
              </w:rPr>
            </w:pPr>
            <w:r w:rsidRPr="008B4DA8">
              <w:rPr>
                <w:rFonts w:cs="Arial"/>
                <w:sz w:val="20"/>
              </w:rPr>
              <w:t>Research Methodologies</w:t>
            </w:r>
          </w:p>
          <w:p w14:paraId="70D65B7A" w14:textId="77777777" w:rsidR="00C25C7D" w:rsidRDefault="00C25C7D" w:rsidP="00360FB0">
            <w:pPr>
              <w:jc w:val="both"/>
              <w:rPr>
                <w:rFonts w:cs="Arial"/>
                <w:sz w:val="20"/>
              </w:rPr>
            </w:pPr>
            <w:r w:rsidRPr="008B4DA8">
              <w:rPr>
                <w:rFonts w:cs="Arial"/>
                <w:sz w:val="20"/>
              </w:rPr>
              <w:t>Major Study</w:t>
            </w:r>
          </w:p>
          <w:p w14:paraId="6A804AEF" w14:textId="77777777" w:rsidR="00026F6F" w:rsidRPr="008B4DA8" w:rsidRDefault="00026F6F" w:rsidP="00360FB0">
            <w:pPr>
              <w:jc w:val="both"/>
              <w:rPr>
                <w:rFonts w:cs="Arial"/>
                <w:sz w:val="20"/>
              </w:rPr>
            </w:pPr>
            <w:r>
              <w:rPr>
                <w:rFonts w:cs="Arial"/>
                <w:sz w:val="20"/>
              </w:rPr>
              <w:t>Theorising for Advanced Practitioners</w:t>
            </w:r>
          </w:p>
        </w:tc>
      </w:tr>
      <w:tr w:rsidR="00C25C7D" w:rsidRPr="008B4DA8" w14:paraId="3D0C5326" w14:textId="77777777">
        <w:tblPrEx>
          <w:tblCellMar>
            <w:top w:w="0" w:type="dxa"/>
            <w:bottom w:w="0" w:type="dxa"/>
          </w:tblCellMar>
        </w:tblPrEx>
        <w:tc>
          <w:tcPr>
            <w:tcW w:w="4536" w:type="dxa"/>
          </w:tcPr>
          <w:p w14:paraId="41FE9553" w14:textId="69CBCA6D" w:rsidR="00C25C7D" w:rsidRPr="008B4DA8" w:rsidRDefault="00BC6421" w:rsidP="00360FB0">
            <w:pPr>
              <w:jc w:val="both"/>
              <w:rPr>
                <w:rFonts w:cs="Arial"/>
                <w:sz w:val="20"/>
              </w:rPr>
            </w:pPr>
            <w:r>
              <w:rPr>
                <w:rFonts w:cs="Arial"/>
                <w:sz w:val="20"/>
              </w:rPr>
              <w:t xml:space="preserve">CLO35 </w:t>
            </w:r>
            <w:r w:rsidR="00C25C7D" w:rsidRPr="008B4DA8">
              <w:rPr>
                <w:rFonts w:cs="Arial"/>
                <w:sz w:val="20"/>
              </w:rPr>
              <w:t>Communicates a basic line of argument both verbally and in writing</w:t>
            </w:r>
          </w:p>
        </w:tc>
        <w:tc>
          <w:tcPr>
            <w:tcW w:w="4536" w:type="dxa"/>
          </w:tcPr>
          <w:p w14:paraId="5EB3690B" w14:textId="77777777" w:rsidR="00C25C7D" w:rsidRPr="008B4DA8" w:rsidRDefault="00BF41C3" w:rsidP="00360FB0">
            <w:pPr>
              <w:jc w:val="both"/>
              <w:rPr>
                <w:rFonts w:cs="Arial"/>
                <w:sz w:val="20"/>
              </w:rPr>
            </w:pPr>
            <w:r>
              <w:rPr>
                <w:rFonts w:cs="Arial"/>
                <w:sz w:val="20"/>
              </w:rPr>
              <w:t>Theories and Strategies for Learning</w:t>
            </w:r>
            <w:r w:rsidR="00C25C7D" w:rsidRPr="008B4DA8">
              <w:rPr>
                <w:rFonts w:cs="Arial"/>
                <w:sz w:val="20"/>
              </w:rPr>
              <w:t xml:space="preserve"> </w:t>
            </w:r>
          </w:p>
          <w:p w14:paraId="23D1A74F" w14:textId="77777777" w:rsidR="00C25C7D" w:rsidRPr="008B4DA8" w:rsidRDefault="00C25C7D" w:rsidP="00360FB0">
            <w:pPr>
              <w:jc w:val="both"/>
              <w:rPr>
                <w:rFonts w:cs="Arial"/>
                <w:sz w:val="20"/>
              </w:rPr>
            </w:pPr>
            <w:r w:rsidRPr="008B4DA8">
              <w:rPr>
                <w:rFonts w:cs="Arial"/>
                <w:sz w:val="20"/>
              </w:rPr>
              <w:t>All modules</w:t>
            </w:r>
          </w:p>
        </w:tc>
      </w:tr>
      <w:tr w:rsidR="00C25C7D" w:rsidRPr="008B4DA8" w14:paraId="30215709" w14:textId="77777777">
        <w:tblPrEx>
          <w:tblCellMar>
            <w:top w:w="0" w:type="dxa"/>
            <w:bottom w:w="0" w:type="dxa"/>
          </w:tblCellMar>
        </w:tblPrEx>
        <w:tc>
          <w:tcPr>
            <w:tcW w:w="4536" w:type="dxa"/>
          </w:tcPr>
          <w:p w14:paraId="1CDE9D4B" w14:textId="0650B64B" w:rsidR="00C25C7D" w:rsidRPr="008B4DA8" w:rsidRDefault="00BC6421" w:rsidP="00360FB0">
            <w:pPr>
              <w:jc w:val="both"/>
              <w:rPr>
                <w:rFonts w:cs="Arial"/>
                <w:sz w:val="20"/>
              </w:rPr>
            </w:pPr>
            <w:r>
              <w:rPr>
                <w:rFonts w:cs="Arial"/>
                <w:sz w:val="20"/>
              </w:rPr>
              <w:t xml:space="preserve">CLO36 </w:t>
            </w:r>
            <w:r w:rsidR="00C25C7D" w:rsidRPr="008B4DA8">
              <w:rPr>
                <w:rFonts w:cs="Arial"/>
                <w:sz w:val="20"/>
              </w:rPr>
              <w:t>Develops confidence, a sense of autonomy and the ability to work independently.</w:t>
            </w:r>
          </w:p>
        </w:tc>
        <w:tc>
          <w:tcPr>
            <w:tcW w:w="4536" w:type="dxa"/>
          </w:tcPr>
          <w:p w14:paraId="2344FA79" w14:textId="77777777" w:rsidR="00C25C7D" w:rsidRPr="008B4DA8" w:rsidRDefault="00BF41C3" w:rsidP="00360FB0">
            <w:pPr>
              <w:jc w:val="both"/>
              <w:rPr>
                <w:rFonts w:cs="Arial"/>
                <w:sz w:val="20"/>
              </w:rPr>
            </w:pPr>
            <w:r>
              <w:rPr>
                <w:rFonts w:cs="Arial"/>
                <w:sz w:val="20"/>
              </w:rPr>
              <w:t>Theories and Strategies for Learning</w:t>
            </w:r>
            <w:r w:rsidR="00C25C7D" w:rsidRPr="008B4DA8">
              <w:rPr>
                <w:rFonts w:cs="Arial"/>
                <w:sz w:val="20"/>
              </w:rPr>
              <w:t xml:space="preserve"> </w:t>
            </w:r>
          </w:p>
          <w:p w14:paraId="2849BE96" w14:textId="77777777" w:rsidR="00C25C7D" w:rsidRPr="008B4DA8" w:rsidRDefault="00C25C7D" w:rsidP="00360FB0">
            <w:pPr>
              <w:jc w:val="both"/>
              <w:rPr>
                <w:rFonts w:cs="Arial"/>
                <w:sz w:val="20"/>
              </w:rPr>
            </w:pPr>
            <w:r w:rsidRPr="008B4DA8">
              <w:rPr>
                <w:rFonts w:cs="Arial"/>
                <w:sz w:val="20"/>
              </w:rPr>
              <w:t>All modules</w:t>
            </w:r>
          </w:p>
        </w:tc>
      </w:tr>
      <w:tr w:rsidR="00C25C7D" w:rsidRPr="008B4DA8" w14:paraId="20623CDC" w14:textId="77777777">
        <w:tblPrEx>
          <w:tblCellMar>
            <w:top w:w="0" w:type="dxa"/>
            <w:bottom w:w="0" w:type="dxa"/>
          </w:tblCellMar>
        </w:tblPrEx>
        <w:tc>
          <w:tcPr>
            <w:tcW w:w="4536" w:type="dxa"/>
          </w:tcPr>
          <w:p w14:paraId="0A14C63F" w14:textId="551DED8D" w:rsidR="00C25C7D" w:rsidRPr="008B4DA8" w:rsidRDefault="00BC6421" w:rsidP="00360FB0">
            <w:pPr>
              <w:jc w:val="both"/>
              <w:rPr>
                <w:rFonts w:cs="Arial"/>
                <w:sz w:val="20"/>
              </w:rPr>
            </w:pPr>
            <w:r>
              <w:rPr>
                <w:rFonts w:cs="Arial"/>
                <w:sz w:val="20"/>
              </w:rPr>
              <w:t xml:space="preserve">CLO37 </w:t>
            </w:r>
            <w:r w:rsidR="00C25C7D" w:rsidRPr="008B4DA8">
              <w:rPr>
                <w:rFonts w:cs="Arial"/>
                <w:sz w:val="20"/>
              </w:rPr>
              <w:t>Demonstrates a high level of literacy and communication skills.</w:t>
            </w:r>
          </w:p>
        </w:tc>
        <w:tc>
          <w:tcPr>
            <w:tcW w:w="4536" w:type="dxa"/>
          </w:tcPr>
          <w:p w14:paraId="5A06076C" w14:textId="77777777" w:rsidR="00C25C7D" w:rsidRPr="008B4DA8" w:rsidRDefault="00BF41C3" w:rsidP="00360FB0">
            <w:pPr>
              <w:jc w:val="both"/>
              <w:rPr>
                <w:rFonts w:cs="Arial"/>
                <w:sz w:val="20"/>
              </w:rPr>
            </w:pPr>
            <w:r>
              <w:rPr>
                <w:rFonts w:cs="Arial"/>
                <w:sz w:val="20"/>
              </w:rPr>
              <w:t>Theories and Strategies for Learning</w:t>
            </w:r>
            <w:r w:rsidR="00C25C7D" w:rsidRPr="008B4DA8">
              <w:rPr>
                <w:rFonts w:cs="Arial"/>
                <w:sz w:val="20"/>
              </w:rPr>
              <w:t xml:space="preserve"> </w:t>
            </w:r>
          </w:p>
          <w:p w14:paraId="34579E57" w14:textId="77777777" w:rsidR="00C25C7D" w:rsidRPr="008B4DA8" w:rsidRDefault="00C25C7D" w:rsidP="00360FB0">
            <w:pPr>
              <w:jc w:val="both"/>
              <w:rPr>
                <w:rFonts w:cs="Arial"/>
                <w:sz w:val="20"/>
              </w:rPr>
            </w:pPr>
            <w:r w:rsidRPr="008B4DA8">
              <w:rPr>
                <w:rFonts w:cs="Arial"/>
                <w:sz w:val="20"/>
              </w:rPr>
              <w:t>All modules</w:t>
            </w:r>
          </w:p>
        </w:tc>
      </w:tr>
      <w:tr w:rsidR="00C25C7D" w:rsidRPr="008B4DA8" w14:paraId="4EF30D19" w14:textId="77777777">
        <w:tblPrEx>
          <w:tblCellMar>
            <w:top w:w="0" w:type="dxa"/>
            <w:bottom w:w="0" w:type="dxa"/>
          </w:tblCellMar>
        </w:tblPrEx>
        <w:tc>
          <w:tcPr>
            <w:tcW w:w="4536" w:type="dxa"/>
          </w:tcPr>
          <w:p w14:paraId="73C581CF" w14:textId="44185958" w:rsidR="00C25C7D" w:rsidRPr="008B4DA8" w:rsidRDefault="00BC6421" w:rsidP="00360FB0">
            <w:pPr>
              <w:jc w:val="both"/>
              <w:rPr>
                <w:rFonts w:cs="Arial"/>
                <w:sz w:val="20"/>
              </w:rPr>
            </w:pPr>
            <w:r>
              <w:rPr>
                <w:rFonts w:cs="Arial"/>
                <w:sz w:val="20"/>
              </w:rPr>
              <w:t xml:space="preserve">CLO38 </w:t>
            </w:r>
            <w:r w:rsidR="00C25C7D" w:rsidRPr="008B4DA8">
              <w:rPr>
                <w:rFonts w:cs="Arial"/>
                <w:sz w:val="20"/>
              </w:rPr>
              <w:t>Understands and compiles numerical data</w:t>
            </w:r>
          </w:p>
        </w:tc>
        <w:tc>
          <w:tcPr>
            <w:tcW w:w="4536" w:type="dxa"/>
          </w:tcPr>
          <w:p w14:paraId="7B11E3BF" w14:textId="77777777" w:rsidR="00C25C7D" w:rsidRPr="008B4DA8" w:rsidRDefault="00C25C7D" w:rsidP="00360FB0">
            <w:pPr>
              <w:jc w:val="both"/>
              <w:rPr>
                <w:rFonts w:cs="Arial"/>
                <w:sz w:val="20"/>
              </w:rPr>
            </w:pPr>
            <w:r w:rsidRPr="008B4DA8">
              <w:rPr>
                <w:rFonts w:cs="Arial"/>
                <w:sz w:val="20"/>
              </w:rPr>
              <w:t xml:space="preserve">All </w:t>
            </w:r>
            <w:r w:rsidR="00026F6F">
              <w:rPr>
                <w:rFonts w:cs="Arial"/>
                <w:sz w:val="20"/>
              </w:rPr>
              <w:t>p</w:t>
            </w:r>
            <w:r w:rsidR="00C74C4C">
              <w:rPr>
                <w:rFonts w:cs="Arial"/>
                <w:sz w:val="20"/>
              </w:rPr>
              <w:t>ractice-based</w:t>
            </w:r>
            <w:r w:rsidRPr="008B4DA8">
              <w:rPr>
                <w:rFonts w:cs="Arial"/>
                <w:sz w:val="20"/>
              </w:rPr>
              <w:t xml:space="preserve"> modules</w:t>
            </w:r>
          </w:p>
          <w:p w14:paraId="785B18D5" w14:textId="77777777" w:rsidR="00C25C7D" w:rsidRPr="008B4DA8" w:rsidRDefault="00A363CE" w:rsidP="00360FB0">
            <w:pPr>
              <w:jc w:val="both"/>
              <w:rPr>
                <w:rFonts w:cs="Arial"/>
                <w:sz w:val="20"/>
              </w:rPr>
            </w:pPr>
            <w:r>
              <w:rPr>
                <w:sz w:val="20"/>
              </w:rPr>
              <w:t>Social Policy and Inclusion</w:t>
            </w:r>
            <w:r w:rsidR="00C25C7D" w:rsidRPr="008B4DA8">
              <w:rPr>
                <w:sz w:val="20"/>
              </w:rPr>
              <w:t xml:space="preserve"> </w:t>
            </w:r>
          </w:p>
          <w:p w14:paraId="59D4ACB9" w14:textId="77777777" w:rsidR="00026F6F" w:rsidRPr="008B4DA8" w:rsidRDefault="00C25C7D" w:rsidP="00360FB0">
            <w:pPr>
              <w:jc w:val="both"/>
              <w:rPr>
                <w:rFonts w:cs="Arial"/>
                <w:sz w:val="20"/>
              </w:rPr>
            </w:pPr>
            <w:r w:rsidRPr="008B4DA8">
              <w:rPr>
                <w:rFonts w:cs="Arial"/>
                <w:sz w:val="20"/>
              </w:rPr>
              <w:t>Major Study</w:t>
            </w:r>
          </w:p>
        </w:tc>
      </w:tr>
      <w:tr w:rsidR="00C25C7D" w:rsidRPr="008B4DA8" w14:paraId="5F32E78C" w14:textId="77777777">
        <w:tblPrEx>
          <w:tblCellMar>
            <w:top w:w="0" w:type="dxa"/>
            <w:bottom w:w="0" w:type="dxa"/>
          </w:tblCellMar>
        </w:tblPrEx>
        <w:tc>
          <w:tcPr>
            <w:tcW w:w="4536" w:type="dxa"/>
          </w:tcPr>
          <w:p w14:paraId="5D4A5464" w14:textId="26AD9530" w:rsidR="00C25C7D" w:rsidRPr="008B4DA8" w:rsidRDefault="00BC6421" w:rsidP="00360FB0">
            <w:pPr>
              <w:jc w:val="both"/>
              <w:rPr>
                <w:rFonts w:cs="Arial"/>
                <w:sz w:val="20"/>
              </w:rPr>
            </w:pPr>
            <w:r>
              <w:rPr>
                <w:rFonts w:cs="Arial"/>
                <w:sz w:val="20"/>
              </w:rPr>
              <w:t xml:space="preserve">CLO39 </w:t>
            </w:r>
            <w:r w:rsidR="00C25C7D" w:rsidRPr="008B4DA8">
              <w:rPr>
                <w:rFonts w:cs="Arial"/>
                <w:sz w:val="20"/>
              </w:rPr>
              <w:t>Works effectively as a member of a team, taking the lead where appropriate.</w:t>
            </w:r>
          </w:p>
        </w:tc>
        <w:tc>
          <w:tcPr>
            <w:tcW w:w="4536" w:type="dxa"/>
          </w:tcPr>
          <w:p w14:paraId="07947824" w14:textId="77777777" w:rsidR="00C25C7D" w:rsidRPr="008B4DA8" w:rsidRDefault="00026F6F" w:rsidP="00360FB0">
            <w:pPr>
              <w:jc w:val="both"/>
              <w:rPr>
                <w:rFonts w:cs="Arial"/>
                <w:sz w:val="20"/>
              </w:rPr>
            </w:pPr>
            <w:r>
              <w:rPr>
                <w:rFonts w:cs="Arial"/>
                <w:sz w:val="20"/>
              </w:rPr>
              <w:t>All practice-based modules</w:t>
            </w:r>
          </w:p>
          <w:p w14:paraId="65D1C190"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p w14:paraId="3AFB8BE7" w14:textId="77777777" w:rsidR="00C25C7D" w:rsidRPr="008B4DA8" w:rsidRDefault="00C25C7D" w:rsidP="00360FB0">
            <w:pPr>
              <w:tabs>
                <w:tab w:val="left" w:pos="9923"/>
              </w:tabs>
              <w:jc w:val="both"/>
              <w:rPr>
                <w:rFonts w:cs="Arial"/>
                <w:sz w:val="20"/>
              </w:rPr>
            </w:pPr>
            <w:r w:rsidRPr="008B4DA8">
              <w:rPr>
                <w:rFonts w:cs="Arial"/>
                <w:sz w:val="20"/>
              </w:rPr>
              <w:t>Research Methodologies</w:t>
            </w:r>
          </w:p>
        </w:tc>
      </w:tr>
      <w:tr w:rsidR="00C25C7D" w:rsidRPr="008B4DA8" w14:paraId="5F56043A" w14:textId="77777777">
        <w:tblPrEx>
          <w:tblCellMar>
            <w:top w:w="0" w:type="dxa"/>
            <w:bottom w:w="0" w:type="dxa"/>
          </w:tblCellMar>
        </w:tblPrEx>
        <w:tc>
          <w:tcPr>
            <w:tcW w:w="4536" w:type="dxa"/>
          </w:tcPr>
          <w:p w14:paraId="3EE9BC67" w14:textId="5492FC60" w:rsidR="00C25C7D" w:rsidRPr="008B4DA8" w:rsidRDefault="00BC6421" w:rsidP="00360FB0">
            <w:pPr>
              <w:jc w:val="both"/>
              <w:rPr>
                <w:rFonts w:cs="Arial"/>
                <w:sz w:val="20"/>
              </w:rPr>
            </w:pPr>
            <w:r>
              <w:rPr>
                <w:rFonts w:cs="Arial"/>
                <w:sz w:val="20"/>
              </w:rPr>
              <w:t xml:space="preserve">CLO40 </w:t>
            </w:r>
            <w:r w:rsidR="00C25C7D" w:rsidRPr="008B4DA8">
              <w:rPr>
                <w:rFonts w:cs="Arial"/>
                <w:sz w:val="20"/>
              </w:rPr>
              <w:t>Develops anti-oppressive practice and recognises and challenges own prejudices and oppressive behaviours.</w:t>
            </w:r>
          </w:p>
        </w:tc>
        <w:tc>
          <w:tcPr>
            <w:tcW w:w="4536" w:type="dxa"/>
          </w:tcPr>
          <w:p w14:paraId="27ED8D64" w14:textId="77777777" w:rsidR="00C25C7D" w:rsidRPr="008B4DA8" w:rsidRDefault="00C25C7D" w:rsidP="00360FB0">
            <w:pPr>
              <w:jc w:val="both"/>
              <w:rPr>
                <w:rFonts w:cs="Arial"/>
                <w:sz w:val="20"/>
              </w:rPr>
            </w:pPr>
            <w:r w:rsidRPr="008B4DA8">
              <w:rPr>
                <w:rFonts w:cs="Arial"/>
                <w:sz w:val="20"/>
              </w:rPr>
              <w:t>All modules</w:t>
            </w:r>
          </w:p>
        </w:tc>
      </w:tr>
      <w:tr w:rsidR="00C25C7D" w:rsidRPr="008B4DA8" w14:paraId="50D64102" w14:textId="77777777">
        <w:tblPrEx>
          <w:tblCellMar>
            <w:top w:w="0" w:type="dxa"/>
            <w:bottom w:w="0" w:type="dxa"/>
          </w:tblCellMar>
        </w:tblPrEx>
        <w:tc>
          <w:tcPr>
            <w:tcW w:w="4536" w:type="dxa"/>
          </w:tcPr>
          <w:p w14:paraId="01ED092E" w14:textId="71E3FE0F" w:rsidR="00C25C7D" w:rsidRPr="008B4DA8" w:rsidRDefault="00BC6421" w:rsidP="00360FB0">
            <w:pPr>
              <w:jc w:val="both"/>
              <w:rPr>
                <w:rFonts w:cs="Arial"/>
                <w:sz w:val="20"/>
              </w:rPr>
            </w:pPr>
            <w:r>
              <w:rPr>
                <w:rFonts w:cs="Arial"/>
                <w:sz w:val="20"/>
              </w:rPr>
              <w:t xml:space="preserve">CLO41 </w:t>
            </w:r>
            <w:r w:rsidR="00C25C7D" w:rsidRPr="008B4DA8">
              <w:rPr>
                <w:rFonts w:cs="Arial"/>
                <w:sz w:val="20"/>
              </w:rPr>
              <w:t>Develops enhanced self-awareness leading to an understanding of personal strengths, weaknesses and preferred learning and working styles.</w:t>
            </w:r>
          </w:p>
        </w:tc>
        <w:tc>
          <w:tcPr>
            <w:tcW w:w="4536" w:type="dxa"/>
          </w:tcPr>
          <w:p w14:paraId="7D85D098" w14:textId="77777777" w:rsidR="00C25C7D" w:rsidRPr="008B4DA8" w:rsidRDefault="00C25C7D" w:rsidP="00360FB0">
            <w:pPr>
              <w:jc w:val="both"/>
              <w:rPr>
                <w:rFonts w:cs="Arial"/>
                <w:sz w:val="20"/>
              </w:rPr>
            </w:pPr>
            <w:r w:rsidRPr="008B4DA8">
              <w:rPr>
                <w:rFonts w:cs="Arial"/>
                <w:sz w:val="20"/>
              </w:rPr>
              <w:t>Foundations for Practice</w:t>
            </w:r>
          </w:p>
          <w:p w14:paraId="11A061D7" w14:textId="77777777" w:rsidR="00C25C7D" w:rsidRPr="008B4DA8" w:rsidRDefault="00C25C7D" w:rsidP="00360FB0">
            <w:pPr>
              <w:jc w:val="both"/>
              <w:rPr>
                <w:rFonts w:cs="Arial"/>
                <w:sz w:val="20"/>
              </w:rPr>
            </w:pPr>
            <w:r w:rsidRPr="008B4DA8">
              <w:rPr>
                <w:rFonts w:cs="Arial"/>
                <w:sz w:val="20"/>
              </w:rPr>
              <w:t xml:space="preserve">All </w:t>
            </w:r>
            <w:r w:rsidR="00C74C4C">
              <w:rPr>
                <w:rFonts w:cs="Arial"/>
                <w:sz w:val="20"/>
              </w:rPr>
              <w:t>practice-based</w:t>
            </w:r>
            <w:r w:rsidRPr="008B4DA8">
              <w:rPr>
                <w:rFonts w:cs="Arial"/>
                <w:sz w:val="20"/>
              </w:rPr>
              <w:t xml:space="preserve"> modules</w:t>
            </w:r>
          </w:p>
        </w:tc>
      </w:tr>
      <w:tr w:rsidR="00C25C7D" w:rsidRPr="008B4DA8" w14:paraId="0F71A5A3" w14:textId="77777777">
        <w:tblPrEx>
          <w:tblCellMar>
            <w:top w:w="0" w:type="dxa"/>
            <w:bottom w:w="0" w:type="dxa"/>
          </w:tblCellMar>
        </w:tblPrEx>
        <w:tc>
          <w:tcPr>
            <w:tcW w:w="4536" w:type="dxa"/>
          </w:tcPr>
          <w:p w14:paraId="4688C3A4" w14:textId="71C63E1B" w:rsidR="00C25C7D" w:rsidRPr="008B4DA8" w:rsidRDefault="00BC6421" w:rsidP="00360FB0">
            <w:pPr>
              <w:jc w:val="both"/>
              <w:rPr>
                <w:rFonts w:cs="Arial"/>
                <w:sz w:val="20"/>
              </w:rPr>
            </w:pPr>
            <w:r>
              <w:rPr>
                <w:rFonts w:cs="Arial"/>
                <w:sz w:val="20"/>
              </w:rPr>
              <w:t xml:space="preserve">CLO42 </w:t>
            </w:r>
            <w:r w:rsidR="00C25C7D" w:rsidRPr="008B4DA8">
              <w:rPr>
                <w:rFonts w:cs="Arial"/>
                <w:sz w:val="20"/>
              </w:rPr>
              <w:t>Develops a sense of professionalism and professional responsibility.</w:t>
            </w:r>
          </w:p>
        </w:tc>
        <w:tc>
          <w:tcPr>
            <w:tcW w:w="4536" w:type="dxa"/>
          </w:tcPr>
          <w:p w14:paraId="07C64339" w14:textId="77777777" w:rsidR="00C25C7D" w:rsidRPr="008B4DA8" w:rsidRDefault="00C25C7D" w:rsidP="00360FB0">
            <w:pPr>
              <w:jc w:val="both"/>
              <w:rPr>
                <w:rFonts w:cs="Arial"/>
                <w:sz w:val="20"/>
              </w:rPr>
            </w:pPr>
            <w:r w:rsidRPr="008B4DA8">
              <w:rPr>
                <w:rFonts w:cs="Arial"/>
                <w:sz w:val="20"/>
              </w:rPr>
              <w:t xml:space="preserve">All </w:t>
            </w:r>
            <w:r w:rsidR="00C74C4C">
              <w:rPr>
                <w:rFonts w:cs="Arial"/>
                <w:sz w:val="20"/>
              </w:rPr>
              <w:t>practice-based</w:t>
            </w:r>
            <w:r w:rsidRPr="008B4DA8">
              <w:rPr>
                <w:rFonts w:cs="Arial"/>
                <w:sz w:val="20"/>
              </w:rPr>
              <w:t xml:space="preserve"> modules</w:t>
            </w:r>
          </w:p>
          <w:p w14:paraId="5C0D909C"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tc>
      </w:tr>
      <w:tr w:rsidR="00C25C7D" w:rsidRPr="008B4DA8" w14:paraId="2411A43A" w14:textId="77777777">
        <w:tblPrEx>
          <w:tblCellMar>
            <w:top w:w="0" w:type="dxa"/>
            <w:bottom w:w="0" w:type="dxa"/>
          </w:tblCellMar>
        </w:tblPrEx>
        <w:tc>
          <w:tcPr>
            <w:tcW w:w="4536" w:type="dxa"/>
          </w:tcPr>
          <w:p w14:paraId="15EC2673" w14:textId="66C19975" w:rsidR="00C25C7D" w:rsidRPr="008B4DA8" w:rsidRDefault="00BC6421" w:rsidP="00360FB0">
            <w:pPr>
              <w:jc w:val="both"/>
              <w:rPr>
                <w:rFonts w:cs="Arial"/>
                <w:sz w:val="20"/>
              </w:rPr>
            </w:pPr>
            <w:r>
              <w:rPr>
                <w:rFonts w:cs="Arial"/>
                <w:sz w:val="20"/>
              </w:rPr>
              <w:t xml:space="preserve">CLO43 </w:t>
            </w:r>
            <w:r w:rsidR="00C25C7D" w:rsidRPr="008B4DA8">
              <w:rPr>
                <w:rFonts w:cs="Arial"/>
                <w:sz w:val="20"/>
              </w:rPr>
              <w:t>Develops awareness of own performance when People in Action: work with Individuals and Groups, in teams and in groups.</w:t>
            </w:r>
          </w:p>
        </w:tc>
        <w:tc>
          <w:tcPr>
            <w:tcW w:w="4536" w:type="dxa"/>
          </w:tcPr>
          <w:p w14:paraId="1F8BC127" w14:textId="77777777" w:rsidR="00C25C7D" w:rsidRPr="008B4DA8" w:rsidRDefault="00C25C7D" w:rsidP="00360FB0">
            <w:pPr>
              <w:jc w:val="both"/>
              <w:rPr>
                <w:rFonts w:cs="Arial"/>
                <w:sz w:val="20"/>
              </w:rPr>
            </w:pPr>
            <w:r w:rsidRPr="008B4DA8">
              <w:rPr>
                <w:rFonts w:cs="Arial"/>
                <w:sz w:val="20"/>
              </w:rPr>
              <w:t xml:space="preserve">All </w:t>
            </w:r>
            <w:r w:rsidR="00C74C4C">
              <w:rPr>
                <w:rFonts w:cs="Arial"/>
                <w:sz w:val="20"/>
              </w:rPr>
              <w:t>practice-based</w:t>
            </w:r>
            <w:r w:rsidRPr="008B4DA8">
              <w:rPr>
                <w:rFonts w:cs="Arial"/>
                <w:sz w:val="20"/>
              </w:rPr>
              <w:t xml:space="preserve"> modules</w:t>
            </w:r>
          </w:p>
          <w:p w14:paraId="4F7DB18F" w14:textId="77777777" w:rsidR="00C25C7D" w:rsidRPr="008B4DA8" w:rsidRDefault="00C25C7D" w:rsidP="00360FB0">
            <w:pPr>
              <w:tabs>
                <w:tab w:val="left" w:pos="9923"/>
              </w:tabs>
              <w:jc w:val="both"/>
              <w:rPr>
                <w:rFonts w:cs="Arial"/>
                <w:sz w:val="20"/>
              </w:rPr>
            </w:pPr>
            <w:r w:rsidRPr="008B4DA8">
              <w:rPr>
                <w:rFonts w:cs="Arial"/>
                <w:sz w:val="20"/>
              </w:rPr>
              <w:t xml:space="preserve">People in Action: work with Individuals and Groups </w:t>
            </w:r>
          </w:p>
        </w:tc>
      </w:tr>
      <w:tr w:rsidR="00C25C7D" w:rsidRPr="008B4DA8" w14:paraId="69395B9F" w14:textId="77777777">
        <w:tblPrEx>
          <w:tblCellMar>
            <w:top w:w="0" w:type="dxa"/>
            <w:bottom w:w="0" w:type="dxa"/>
          </w:tblCellMar>
        </w:tblPrEx>
        <w:tc>
          <w:tcPr>
            <w:tcW w:w="4536" w:type="dxa"/>
          </w:tcPr>
          <w:p w14:paraId="53D6006A" w14:textId="3EA22EBB" w:rsidR="00C25C7D" w:rsidRPr="008B4DA8" w:rsidRDefault="00BC6421" w:rsidP="00360FB0">
            <w:pPr>
              <w:jc w:val="both"/>
              <w:rPr>
                <w:rFonts w:cs="Arial"/>
                <w:sz w:val="20"/>
              </w:rPr>
            </w:pPr>
            <w:r>
              <w:rPr>
                <w:rFonts w:cs="Arial"/>
                <w:sz w:val="20"/>
              </w:rPr>
              <w:t xml:space="preserve">CLO44 </w:t>
            </w:r>
            <w:r w:rsidR="00C25C7D" w:rsidRPr="008B4DA8">
              <w:rPr>
                <w:rFonts w:cs="Arial"/>
                <w:sz w:val="20"/>
              </w:rPr>
              <w:t>Develops the ability to use relevant empirical and theoretical data in addressing tasks and formulating possible actions.</w:t>
            </w:r>
          </w:p>
        </w:tc>
        <w:tc>
          <w:tcPr>
            <w:tcW w:w="4536" w:type="dxa"/>
          </w:tcPr>
          <w:p w14:paraId="53DAB6F3" w14:textId="77777777" w:rsidR="00C25C7D" w:rsidRPr="008B4DA8" w:rsidRDefault="00C25C7D" w:rsidP="00360FB0">
            <w:pPr>
              <w:jc w:val="both"/>
              <w:rPr>
                <w:rFonts w:cs="Arial"/>
                <w:sz w:val="20"/>
              </w:rPr>
            </w:pPr>
            <w:r w:rsidRPr="008B4DA8">
              <w:rPr>
                <w:rFonts w:cs="Arial"/>
                <w:sz w:val="20"/>
              </w:rPr>
              <w:t>All Professional Techniques and Knowledge modules</w:t>
            </w:r>
          </w:p>
          <w:p w14:paraId="08A97D52" w14:textId="77777777" w:rsidR="00C25C7D" w:rsidRPr="008B4DA8" w:rsidRDefault="00C25C7D" w:rsidP="00360FB0">
            <w:pPr>
              <w:jc w:val="both"/>
              <w:rPr>
                <w:rFonts w:cs="Arial"/>
                <w:sz w:val="20"/>
              </w:rPr>
            </w:pPr>
            <w:r w:rsidRPr="008B4DA8">
              <w:rPr>
                <w:rFonts w:cs="Arial"/>
                <w:sz w:val="20"/>
              </w:rPr>
              <w:t>All Underpinning Theory modules</w:t>
            </w:r>
          </w:p>
        </w:tc>
      </w:tr>
      <w:tr w:rsidR="00C25C7D" w:rsidRPr="008B4DA8" w14:paraId="0C18753F" w14:textId="77777777">
        <w:tblPrEx>
          <w:tblCellMar>
            <w:top w:w="0" w:type="dxa"/>
            <w:bottom w:w="0" w:type="dxa"/>
          </w:tblCellMar>
        </w:tblPrEx>
        <w:tc>
          <w:tcPr>
            <w:tcW w:w="4536" w:type="dxa"/>
          </w:tcPr>
          <w:p w14:paraId="587CE2BD" w14:textId="4492084D" w:rsidR="00C25C7D" w:rsidRPr="008B4DA8" w:rsidRDefault="00BC6421" w:rsidP="00360FB0">
            <w:pPr>
              <w:jc w:val="both"/>
              <w:rPr>
                <w:rFonts w:cs="Arial"/>
                <w:sz w:val="20"/>
              </w:rPr>
            </w:pPr>
            <w:r>
              <w:rPr>
                <w:rFonts w:cs="Arial"/>
                <w:sz w:val="20"/>
              </w:rPr>
              <w:t xml:space="preserve">CLO45 </w:t>
            </w:r>
            <w:r w:rsidR="00C25C7D" w:rsidRPr="008B4DA8">
              <w:rPr>
                <w:rFonts w:cs="Arial"/>
                <w:sz w:val="20"/>
              </w:rPr>
              <w:t>Acquires facilitative skills for People in Action: work with Individuals and Groups, groups and communities towards educational goals.</w:t>
            </w:r>
          </w:p>
        </w:tc>
        <w:tc>
          <w:tcPr>
            <w:tcW w:w="4536" w:type="dxa"/>
          </w:tcPr>
          <w:p w14:paraId="4A134FCA" w14:textId="77777777" w:rsidR="00C25C7D" w:rsidRPr="008B4DA8" w:rsidRDefault="00C25C7D" w:rsidP="00360FB0">
            <w:pPr>
              <w:tabs>
                <w:tab w:val="left" w:pos="9923"/>
              </w:tabs>
              <w:jc w:val="both"/>
              <w:rPr>
                <w:rFonts w:cs="Arial"/>
                <w:sz w:val="20"/>
              </w:rPr>
            </w:pPr>
            <w:r w:rsidRPr="008B4DA8">
              <w:rPr>
                <w:rFonts w:cs="Arial"/>
                <w:sz w:val="20"/>
              </w:rPr>
              <w:t>People in Action: work with Individuals and Groups and Groups</w:t>
            </w:r>
          </w:p>
          <w:p w14:paraId="61E8DE22" w14:textId="77777777" w:rsidR="00C25C7D" w:rsidRPr="008B4DA8" w:rsidRDefault="00C25C7D" w:rsidP="00360FB0">
            <w:pPr>
              <w:jc w:val="both"/>
              <w:rPr>
                <w:rFonts w:cs="Arial"/>
                <w:sz w:val="20"/>
              </w:rPr>
            </w:pPr>
            <w:r w:rsidRPr="008B4DA8">
              <w:rPr>
                <w:rFonts w:cs="Arial"/>
                <w:sz w:val="20"/>
              </w:rPr>
              <w:t xml:space="preserve">All </w:t>
            </w:r>
            <w:r w:rsidR="00C74C4C">
              <w:rPr>
                <w:rFonts w:cs="Arial"/>
                <w:sz w:val="20"/>
              </w:rPr>
              <w:t>practice-based</w:t>
            </w:r>
            <w:r w:rsidRPr="008B4DA8">
              <w:rPr>
                <w:rFonts w:cs="Arial"/>
                <w:sz w:val="20"/>
              </w:rPr>
              <w:t xml:space="preserve"> modules</w:t>
            </w:r>
          </w:p>
          <w:p w14:paraId="3D9EB1D1" w14:textId="77777777" w:rsidR="00C25C7D" w:rsidRPr="008B4DA8" w:rsidRDefault="00C25C7D" w:rsidP="00360FB0">
            <w:pPr>
              <w:jc w:val="both"/>
              <w:rPr>
                <w:rFonts w:cs="Arial"/>
                <w:sz w:val="20"/>
              </w:rPr>
            </w:pPr>
          </w:p>
        </w:tc>
      </w:tr>
      <w:tr w:rsidR="00C25C7D" w:rsidRPr="008B4DA8" w14:paraId="4F89FDE6" w14:textId="77777777">
        <w:tblPrEx>
          <w:tblCellMar>
            <w:top w:w="0" w:type="dxa"/>
            <w:bottom w:w="0" w:type="dxa"/>
          </w:tblCellMar>
        </w:tblPrEx>
        <w:tc>
          <w:tcPr>
            <w:tcW w:w="4536" w:type="dxa"/>
          </w:tcPr>
          <w:p w14:paraId="2156AEF5" w14:textId="308F3922" w:rsidR="00C25C7D" w:rsidRPr="008B4DA8" w:rsidRDefault="00BC6421" w:rsidP="00360FB0">
            <w:pPr>
              <w:jc w:val="both"/>
              <w:rPr>
                <w:rFonts w:cs="Arial"/>
                <w:sz w:val="20"/>
              </w:rPr>
            </w:pPr>
            <w:r>
              <w:rPr>
                <w:rFonts w:cs="Arial"/>
                <w:sz w:val="20"/>
              </w:rPr>
              <w:t xml:space="preserve">CLO46 </w:t>
            </w:r>
            <w:r w:rsidR="00C25C7D" w:rsidRPr="008B4DA8">
              <w:rPr>
                <w:rFonts w:cs="Arial"/>
                <w:sz w:val="20"/>
              </w:rPr>
              <w:t>Develops a range of personal qualities appropriate to the professional youth and community worker, for example, integrity, sensitivity, openness and resilience.</w:t>
            </w:r>
          </w:p>
        </w:tc>
        <w:tc>
          <w:tcPr>
            <w:tcW w:w="4536" w:type="dxa"/>
          </w:tcPr>
          <w:p w14:paraId="1582A1E8" w14:textId="77777777" w:rsidR="00C25C7D" w:rsidRPr="008B4DA8" w:rsidRDefault="00C25C7D" w:rsidP="00360FB0">
            <w:pPr>
              <w:jc w:val="both"/>
              <w:rPr>
                <w:rFonts w:cs="Arial"/>
                <w:sz w:val="20"/>
              </w:rPr>
            </w:pPr>
            <w:r w:rsidRPr="008B4DA8">
              <w:rPr>
                <w:rFonts w:cs="Arial"/>
                <w:sz w:val="20"/>
              </w:rPr>
              <w:t xml:space="preserve">All </w:t>
            </w:r>
            <w:r w:rsidR="00C74C4C">
              <w:rPr>
                <w:rFonts w:cs="Arial"/>
                <w:sz w:val="20"/>
              </w:rPr>
              <w:t>practice-based</w:t>
            </w:r>
            <w:r w:rsidRPr="008B4DA8">
              <w:rPr>
                <w:rFonts w:cs="Arial"/>
                <w:sz w:val="20"/>
              </w:rPr>
              <w:t xml:space="preserve"> modules</w:t>
            </w:r>
          </w:p>
        </w:tc>
      </w:tr>
      <w:tr w:rsidR="00C25C7D" w:rsidRPr="008B4DA8" w14:paraId="115ACC34" w14:textId="77777777">
        <w:tblPrEx>
          <w:tblCellMar>
            <w:top w:w="0" w:type="dxa"/>
            <w:bottom w:w="0" w:type="dxa"/>
          </w:tblCellMar>
        </w:tblPrEx>
        <w:tc>
          <w:tcPr>
            <w:tcW w:w="4536" w:type="dxa"/>
          </w:tcPr>
          <w:p w14:paraId="7BDE385E" w14:textId="7BA9BB87" w:rsidR="00C25C7D" w:rsidRPr="008B4DA8" w:rsidRDefault="00BC6421" w:rsidP="00360FB0">
            <w:pPr>
              <w:jc w:val="both"/>
              <w:rPr>
                <w:rFonts w:cs="Arial"/>
                <w:sz w:val="20"/>
              </w:rPr>
            </w:pPr>
            <w:r>
              <w:rPr>
                <w:rFonts w:cs="Arial"/>
                <w:sz w:val="20"/>
              </w:rPr>
              <w:t xml:space="preserve">CLO47 </w:t>
            </w:r>
            <w:r w:rsidR="00C25C7D" w:rsidRPr="008B4DA8">
              <w:rPr>
                <w:rFonts w:cs="Arial"/>
                <w:sz w:val="20"/>
              </w:rPr>
              <w:t>Employs time management skills and works to deadlines effectively</w:t>
            </w:r>
          </w:p>
        </w:tc>
        <w:tc>
          <w:tcPr>
            <w:tcW w:w="4536" w:type="dxa"/>
          </w:tcPr>
          <w:p w14:paraId="172569DC" w14:textId="77777777" w:rsidR="00C25C7D" w:rsidRPr="008B4DA8" w:rsidRDefault="00C25C7D" w:rsidP="00360FB0">
            <w:pPr>
              <w:jc w:val="both"/>
              <w:rPr>
                <w:rFonts w:cs="Arial"/>
                <w:sz w:val="20"/>
              </w:rPr>
            </w:pPr>
            <w:r w:rsidRPr="008B4DA8">
              <w:rPr>
                <w:rFonts w:cs="Arial"/>
                <w:sz w:val="20"/>
              </w:rPr>
              <w:t>All modules</w:t>
            </w:r>
          </w:p>
        </w:tc>
      </w:tr>
      <w:tr w:rsidR="00C25C7D" w:rsidRPr="008B4DA8" w14:paraId="31E25F4F" w14:textId="77777777">
        <w:tblPrEx>
          <w:tblCellMar>
            <w:top w:w="0" w:type="dxa"/>
            <w:bottom w:w="0" w:type="dxa"/>
          </w:tblCellMar>
        </w:tblPrEx>
        <w:tc>
          <w:tcPr>
            <w:tcW w:w="4536" w:type="dxa"/>
          </w:tcPr>
          <w:p w14:paraId="6358B1F8" w14:textId="4DF635EF" w:rsidR="00C25C7D" w:rsidRPr="008B4DA8" w:rsidRDefault="00BC6421" w:rsidP="00360FB0">
            <w:pPr>
              <w:jc w:val="both"/>
              <w:rPr>
                <w:rFonts w:cs="Arial"/>
                <w:sz w:val="20"/>
              </w:rPr>
            </w:pPr>
            <w:r>
              <w:rPr>
                <w:rFonts w:cs="Arial"/>
                <w:sz w:val="20"/>
              </w:rPr>
              <w:t xml:space="preserve">CLO48 </w:t>
            </w:r>
            <w:r w:rsidR="00C25C7D" w:rsidRPr="008B4DA8">
              <w:rPr>
                <w:rFonts w:cs="Arial"/>
                <w:sz w:val="20"/>
              </w:rPr>
              <w:t xml:space="preserve">Understands and uses the  </w:t>
            </w:r>
            <w:r w:rsidR="00672879">
              <w:rPr>
                <w:rFonts w:cs="Arial"/>
                <w:sz w:val="20"/>
              </w:rPr>
              <w:t xml:space="preserve">University approved </w:t>
            </w:r>
            <w:r w:rsidR="00C25C7D" w:rsidRPr="008B4DA8">
              <w:rPr>
                <w:rFonts w:cs="Arial"/>
                <w:sz w:val="20"/>
              </w:rPr>
              <w:t>referencing system and is able to construct an accurate bibliography</w:t>
            </w:r>
          </w:p>
        </w:tc>
        <w:tc>
          <w:tcPr>
            <w:tcW w:w="4536" w:type="dxa"/>
          </w:tcPr>
          <w:p w14:paraId="5CB05115" w14:textId="77777777" w:rsidR="00C25C7D" w:rsidRPr="008B4DA8" w:rsidRDefault="00BF41C3" w:rsidP="00360FB0">
            <w:pPr>
              <w:jc w:val="both"/>
              <w:rPr>
                <w:rFonts w:cs="Arial"/>
                <w:sz w:val="20"/>
              </w:rPr>
            </w:pPr>
            <w:r>
              <w:rPr>
                <w:rFonts w:cs="Arial"/>
                <w:sz w:val="20"/>
              </w:rPr>
              <w:t>Theories and Strategies for Learning</w:t>
            </w:r>
            <w:r w:rsidR="00C25C7D" w:rsidRPr="008B4DA8">
              <w:rPr>
                <w:rFonts w:cs="Arial"/>
                <w:sz w:val="20"/>
              </w:rPr>
              <w:t xml:space="preserve"> </w:t>
            </w:r>
          </w:p>
          <w:p w14:paraId="7323723C" w14:textId="77777777" w:rsidR="00C25C7D" w:rsidRPr="008B4DA8" w:rsidRDefault="00C25C7D" w:rsidP="00360FB0">
            <w:pPr>
              <w:jc w:val="both"/>
              <w:rPr>
                <w:rFonts w:cs="Arial"/>
                <w:sz w:val="20"/>
              </w:rPr>
            </w:pPr>
            <w:r w:rsidRPr="008B4DA8">
              <w:rPr>
                <w:rFonts w:cs="Arial"/>
                <w:sz w:val="20"/>
              </w:rPr>
              <w:t>All modules</w:t>
            </w:r>
          </w:p>
        </w:tc>
      </w:tr>
    </w:tbl>
    <w:p w14:paraId="546F28BF" w14:textId="3FE10CE4" w:rsidR="00BC6421" w:rsidRDefault="00BC6421" w:rsidP="00360FB0">
      <w:pPr>
        <w:pStyle w:val="Footer"/>
        <w:jc w:val="both"/>
        <w:rPr>
          <w:rFonts w:cs="Arial"/>
          <w:sz w:val="20"/>
        </w:rPr>
      </w:pPr>
    </w:p>
    <w:p w14:paraId="37B84AB7" w14:textId="77777777" w:rsidR="00BC6421" w:rsidRDefault="00BC6421">
      <w:pPr>
        <w:rPr>
          <w:rFonts w:cs="Arial"/>
          <w:sz w:val="20"/>
        </w:rPr>
      </w:pPr>
      <w:r>
        <w:rPr>
          <w:rFonts w:cs="Arial"/>
          <w:sz w:val="20"/>
        </w:rPr>
        <w:br w:type="page"/>
      </w:r>
    </w:p>
    <w:p w14:paraId="746DF018" w14:textId="1BD3658F" w:rsidR="00C25C7D" w:rsidRPr="008B4DA8" w:rsidRDefault="00B3381F" w:rsidP="00BC6421">
      <w:pPr>
        <w:pStyle w:val="Heading2"/>
        <w:numPr>
          <w:ilvl w:val="0"/>
          <w:numId w:val="0"/>
        </w:numPr>
      </w:pPr>
      <w:r>
        <w:t xml:space="preserve">Appendix 3 </w:t>
      </w:r>
      <w:r w:rsidR="00C25C7D" w:rsidRPr="008B4DA8">
        <w:t xml:space="preserve">Sample Assessment Schedule (Foundation Level: FULL-TIME STUDENTS) </w:t>
      </w:r>
      <w:bookmarkStart w:id="2" w:name="_GoBack"/>
      <w:bookmarkEnd w:id="2"/>
      <w:r w:rsidR="00C25C7D" w:rsidRPr="008B4DA8">
        <w:t xml:space="preserve">                                                                             </w:t>
      </w:r>
    </w:p>
    <w:p w14:paraId="38A0C33A" w14:textId="77777777" w:rsidR="00C25C7D" w:rsidRPr="008B4DA8" w:rsidRDefault="00C25C7D" w:rsidP="00360FB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011"/>
        <w:gridCol w:w="5845"/>
      </w:tblGrid>
      <w:tr w:rsidR="00C25C7D" w:rsidRPr="008B4DA8" w14:paraId="4B7BAB87" w14:textId="77777777">
        <w:tblPrEx>
          <w:tblCellMar>
            <w:top w:w="0" w:type="dxa"/>
            <w:bottom w:w="0" w:type="dxa"/>
          </w:tblCellMar>
        </w:tblPrEx>
        <w:tc>
          <w:tcPr>
            <w:tcW w:w="791" w:type="dxa"/>
          </w:tcPr>
          <w:p w14:paraId="0A6E6150" w14:textId="77777777" w:rsidR="00C25C7D" w:rsidRPr="008B4DA8" w:rsidRDefault="00C25C7D" w:rsidP="00360FB0">
            <w:pPr>
              <w:jc w:val="both"/>
              <w:rPr>
                <w:b/>
                <w:sz w:val="20"/>
              </w:rPr>
            </w:pPr>
            <w:r w:rsidRPr="008B4DA8">
              <w:rPr>
                <w:b/>
                <w:sz w:val="20"/>
              </w:rPr>
              <w:t>Week</w:t>
            </w:r>
          </w:p>
        </w:tc>
        <w:tc>
          <w:tcPr>
            <w:tcW w:w="2011" w:type="dxa"/>
          </w:tcPr>
          <w:p w14:paraId="4797FA5A" w14:textId="77777777" w:rsidR="00C25C7D" w:rsidRPr="008B4DA8" w:rsidRDefault="00C25C7D" w:rsidP="00360FB0">
            <w:pPr>
              <w:jc w:val="both"/>
              <w:rPr>
                <w:b/>
                <w:sz w:val="20"/>
              </w:rPr>
            </w:pPr>
          </w:p>
        </w:tc>
        <w:tc>
          <w:tcPr>
            <w:tcW w:w="5845" w:type="dxa"/>
          </w:tcPr>
          <w:p w14:paraId="2C6C22B1" w14:textId="77777777" w:rsidR="00C25C7D" w:rsidRPr="008B4DA8" w:rsidRDefault="00C25C7D" w:rsidP="00360FB0">
            <w:pPr>
              <w:jc w:val="both"/>
              <w:rPr>
                <w:b/>
                <w:sz w:val="20"/>
              </w:rPr>
            </w:pPr>
            <w:r w:rsidRPr="008B4DA8">
              <w:rPr>
                <w:b/>
                <w:sz w:val="20"/>
              </w:rPr>
              <w:t>Summative Assessment</w:t>
            </w:r>
          </w:p>
        </w:tc>
      </w:tr>
      <w:tr w:rsidR="00C25C7D" w:rsidRPr="008B4DA8" w14:paraId="3237B523" w14:textId="77777777">
        <w:tblPrEx>
          <w:tblCellMar>
            <w:top w:w="0" w:type="dxa"/>
            <w:bottom w:w="0" w:type="dxa"/>
          </w:tblCellMar>
        </w:tblPrEx>
        <w:tc>
          <w:tcPr>
            <w:tcW w:w="791" w:type="dxa"/>
          </w:tcPr>
          <w:p w14:paraId="627041F7" w14:textId="77777777" w:rsidR="00C25C7D" w:rsidRPr="008B4DA8" w:rsidRDefault="00C25C7D" w:rsidP="00360FB0">
            <w:pPr>
              <w:jc w:val="both"/>
              <w:rPr>
                <w:sz w:val="20"/>
              </w:rPr>
            </w:pPr>
            <w:r w:rsidRPr="008B4DA8">
              <w:rPr>
                <w:sz w:val="20"/>
              </w:rPr>
              <w:t>3</w:t>
            </w:r>
          </w:p>
        </w:tc>
        <w:tc>
          <w:tcPr>
            <w:tcW w:w="2011" w:type="dxa"/>
          </w:tcPr>
          <w:p w14:paraId="079F9E77" w14:textId="77777777" w:rsidR="00C25C7D" w:rsidRPr="008B4DA8" w:rsidRDefault="00C25C7D" w:rsidP="00360FB0">
            <w:pPr>
              <w:jc w:val="both"/>
              <w:rPr>
                <w:sz w:val="20"/>
              </w:rPr>
            </w:pPr>
            <w:r w:rsidRPr="008B4DA8">
              <w:rPr>
                <w:sz w:val="20"/>
              </w:rPr>
              <w:t>Induction</w:t>
            </w:r>
          </w:p>
        </w:tc>
        <w:tc>
          <w:tcPr>
            <w:tcW w:w="5845" w:type="dxa"/>
          </w:tcPr>
          <w:p w14:paraId="118EE6C4" w14:textId="77777777" w:rsidR="00C25C7D" w:rsidRPr="008B4DA8" w:rsidRDefault="00C25C7D" w:rsidP="00360FB0">
            <w:pPr>
              <w:jc w:val="both"/>
              <w:rPr>
                <w:b/>
                <w:sz w:val="20"/>
                <w:lang w:eastAsia="en-US"/>
              </w:rPr>
            </w:pPr>
          </w:p>
        </w:tc>
      </w:tr>
      <w:tr w:rsidR="00C25C7D" w:rsidRPr="008B4DA8" w14:paraId="4FAA2A7D" w14:textId="77777777">
        <w:tblPrEx>
          <w:tblCellMar>
            <w:top w:w="0" w:type="dxa"/>
            <w:bottom w:w="0" w:type="dxa"/>
          </w:tblCellMar>
        </w:tblPrEx>
        <w:tc>
          <w:tcPr>
            <w:tcW w:w="791" w:type="dxa"/>
          </w:tcPr>
          <w:p w14:paraId="1E2CC194" w14:textId="77777777" w:rsidR="00C25C7D" w:rsidRPr="008B4DA8" w:rsidRDefault="00C25C7D" w:rsidP="00360FB0">
            <w:pPr>
              <w:jc w:val="both"/>
              <w:rPr>
                <w:sz w:val="20"/>
              </w:rPr>
            </w:pPr>
            <w:r w:rsidRPr="008B4DA8">
              <w:rPr>
                <w:sz w:val="20"/>
              </w:rPr>
              <w:t>4</w:t>
            </w:r>
          </w:p>
        </w:tc>
        <w:tc>
          <w:tcPr>
            <w:tcW w:w="2011" w:type="dxa"/>
          </w:tcPr>
          <w:p w14:paraId="360B17A5" w14:textId="77777777" w:rsidR="00C25C7D" w:rsidRPr="008B4DA8" w:rsidRDefault="00C25C7D" w:rsidP="00360FB0">
            <w:pPr>
              <w:jc w:val="both"/>
              <w:rPr>
                <w:sz w:val="20"/>
              </w:rPr>
            </w:pPr>
            <w:r w:rsidRPr="008B4DA8">
              <w:rPr>
                <w:sz w:val="20"/>
              </w:rPr>
              <w:t>Teaching 1</w:t>
            </w:r>
          </w:p>
        </w:tc>
        <w:tc>
          <w:tcPr>
            <w:tcW w:w="5845" w:type="dxa"/>
          </w:tcPr>
          <w:p w14:paraId="6296D65A" w14:textId="77777777" w:rsidR="00C25C7D" w:rsidRPr="008B4DA8" w:rsidRDefault="002D6B31" w:rsidP="00360FB0">
            <w:pPr>
              <w:jc w:val="both"/>
              <w:rPr>
                <w:b/>
                <w:sz w:val="20"/>
                <w:lang w:eastAsia="en-US"/>
              </w:rPr>
            </w:pPr>
            <w:r w:rsidRPr="008B4DA8">
              <w:rPr>
                <w:sz w:val="20"/>
              </w:rPr>
              <w:t>Theories and Strategies for Learning</w:t>
            </w:r>
            <w:r>
              <w:rPr>
                <w:sz w:val="20"/>
              </w:rPr>
              <w:t xml:space="preserve"> </w:t>
            </w:r>
            <w:r w:rsidRPr="008B4DA8">
              <w:rPr>
                <w:sz w:val="20"/>
              </w:rPr>
              <w:t>DFM1230</w:t>
            </w:r>
            <w:r>
              <w:rPr>
                <w:sz w:val="20"/>
              </w:rPr>
              <w:t xml:space="preserve"> – element of Task 1 - Formative</w:t>
            </w:r>
          </w:p>
        </w:tc>
      </w:tr>
      <w:tr w:rsidR="00C25C7D" w:rsidRPr="008B4DA8" w14:paraId="5C28B0A9" w14:textId="77777777">
        <w:tblPrEx>
          <w:tblCellMar>
            <w:top w:w="0" w:type="dxa"/>
            <w:bottom w:w="0" w:type="dxa"/>
          </w:tblCellMar>
        </w:tblPrEx>
        <w:tc>
          <w:tcPr>
            <w:tcW w:w="791" w:type="dxa"/>
          </w:tcPr>
          <w:p w14:paraId="4E2CD78C" w14:textId="77777777" w:rsidR="00C25C7D" w:rsidRPr="008B4DA8" w:rsidRDefault="00C25C7D" w:rsidP="00360FB0">
            <w:pPr>
              <w:jc w:val="both"/>
              <w:rPr>
                <w:sz w:val="20"/>
              </w:rPr>
            </w:pPr>
            <w:r w:rsidRPr="008B4DA8">
              <w:rPr>
                <w:sz w:val="20"/>
              </w:rPr>
              <w:t>5</w:t>
            </w:r>
          </w:p>
        </w:tc>
        <w:tc>
          <w:tcPr>
            <w:tcW w:w="2011" w:type="dxa"/>
          </w:tcPr>
          <w:p w14:paraId="29560368" w14:textId="77777777" w:rsidR="00C25C7D" w:rsidRPr="008B4DA8" w:rsidRDefault="00C25C7D" w:rsidP="00360FB0">
            <w:pPr>
              <w:jc w:val="both"/>
              <w:rPr>
                <w:sz w:val="20"/>
              </w:rPr>
            </w:pPr>
            <w:r w:rsidRPr="008B4DA8">
              <w:rPr>
                <w:sz w:val="20"/>
              </w:rPr>
              <w:t>Teaching 2</w:t>
            </w:r>
          </w:p>
        </w:tc>
        <w:tc>
          <w:tcPr>
            <w:tcW w:w="5845" w:type="dxa"/>
          </w:tcPr>
          <w:p w14:paraId="63CD75AF" w14:textId="77777777" w:rsidR="00C25C7D" w:rsidRPr="008B4DA8" w:rsidRDefault="00C25C7D" w:rsidP="00360FB0">
            <w:pPr>
              <w:jc w:val="both"/>
              <w:rPr>
                <w:b/>
                <w:sz w:val="20"/>
                <w:lang w:eastAsia="en-US"/>
              </w:rPr>
            </w:pPr>
          </w:p>
        </w:tc>
      </w:tr>
      <w:tr w:rsidR="00C25C7D" w:rsidRPr="008B4DA8" w14:paraId="2649495A" w14:textId="77777777">
        <w:tblPrEx>
          <w:tblCellMar>
            <w:top w:w="0" w:type="dxa"/>
            <w:bottom w:w="0" w:type="dxa"/>
          </w:tblCellMar>
        </w:tblPrEx>
        <w:tc>
          <w:tcPr>
            <w:tcW w:w="791" w:type="dxa"/>
          </w:tcPr>
          <w:p w14:paraId="200E276D" w14:textId="77777777" w:rsidR="00C25C7D" w:rsidRPr="008B4DA8" w:rsidRDefault="00C25C7D" w:rsidP="00360FB0">
            <w:pPr>
              <w:jc w:val="both"/>
              <w:rPr>
                <w:sz w:val="20"/>
              </w:rPr>
            </w:pPr>
            <w:r w:rsidRPr="008B4DA8">
              <w:rPr>
                <w:sz w:val="20"/>
              </w:rPr>
              <w:t>6</w:t>
            </w:r>
          </w:p>
        </w:tc>
        <w:tc>
          <w:tcPr>
            <w:tcW w:w="2011" w:type="dxa"/>
          </w:tcPr>
          <w:p w14:paraId="5A0B46E1" w14:textId="77777777" w:rsidR="00C25C7D" w:rsidRPr="008B4DA8" w:rsidRDefault="00C25C7D" w:rsidP="00360FB0">
            <w:pPr>
              <w:jc w:val="both"/>
              <w:rPr>
                <w:sz w:val="20"/>
              </w:rPr>
            </w:pPr>
            <w:r w:rsidRPr="008B4DA8">
              <w:rPr>
                <w:sz w:val="20"/>
              </w:rPr>
              <w:t>Teaching 3</w:t>
            </w:r>
          </w:p>
        </w:tc>
        <w:tc>
          <w:tcPr>
            <w:tcW w:w="5845" w:type="dxa"/>
          </w:tcPr>
          <w:p w14:paraId="7DAB0E1C" w14:textId="77777777" w:rsidR="00C25C7D" w:rsidRPr="008B4DA8" w:rsidRDefault="00C25C7D" w:rsidP="00360FB0">
            <w:pPr>
              <w:jc w:val="both"/>
              <w:rPr>
                <w:b/>
                <w:sz w:val="20"/>
                <w:lang w:eastAsia="en-US"/>
              </w:rPr>
            </w:pPr>
            <w:r w:rsidRPr="008B4DA8">
              <w:rPr>
                <w:sz w:val="20"/>
              </w:rPr>
              <w:t>Foundations for Practice (30 credits) DFU1330 – Formative test</w:t>
            </w:r>
          </w:p>
        </w:tc>
      </w:tr>
      <w:tr w:rsidR="00C25C7D" w:rsidRPr="008B4DA8" w14:paraId="7071F4F1" w14:textId="77777777">
        <w:tblPrEx>
          <w:tblCellMar>
            <w:top w:w="0" w:type="dxa"/>
            <w:bottom w:w="0" w:type="dxa"/>
          </w:tblCellMar>
        </w:tblPrEx>
        <w:tc>
          <w:tcPr>
            <w:tcW w:w="791" w:type="dxa"/>
          </w:tcPr>
          <w:p w14:paraId="648FBADD" w14:textId="77777777" w:rsidR="00C25C7D" w:rsidRPr="008B4DA8" w:rsidRDefault="00C25C7D" w:rsidP="00360FB0">
            <w:pPr>
              <w:jc w:val="both"/>
              <w:rPr>
                <w:sz w:val="20"/>
              </w:rPr>
            </w:pPr>
            <w:r w:rsidRPr="008B4DA8">
              <w:rPr>
                <w:sz w:val="20"/>
              </w:rPr>
              <w:t>7</w:t>
            </w:r>
          </w:p>
        </w:tc>
        <w:tc>
          <w:tcPr>
            <w:tcW w:w="2011" w:type="dxa"/>
          </w:tcPr>
          <w:p w14:paraId="7900A0D3" w14:textId="77777777" w:rsidR="00C25C7D" w:rsidRPr="008B4DA8" w:rsidRDefault="00C25C7D" w:rsidP="00360FB0">
            <w:pPr>
              <w:jc w:val="both"/>
              <w:rPr>
                <w:sz w:val="20"/>
              </w:rPr>
            </w:pPr>
            <w:r w:rsidRPr="008B4DA8">
              <w:rPr>
                <w:sz w:val="20"/>
              </w:rPr>
              <w:t>Teaching 4</w:t>
            </w:r>
          </w:p>
        </w:tc>
        <w:tc>
          <w:tcPr>
            <w:tcW w:w="5845" w:type="dxa"/>
          </w:tcPr>
          <w:p w14:paraId="2826B81D" w14:textId="77777777" w:rsidR="00C25C7D" w:rsidRPr="008B4DA8" w:rsidRDefault="00C25C7D" w:rsidP="00360FB0">
            <w:pPr>
              <w:jc w:val="both"/>
              <w:rPr>
                <w:b/>
                <w:sz w:val="20"/>
                <w:lang w:eastAsia="en-US"/>
              </w:rPr>
            </w:pPr>
          </w:p>
        </w:tc>
      </w:tr>
      <w:tr w:rsidR="00C25C7D" w:rsidRPr="008B4DA8" w14:paraId="63EACB8A" w14:textId="77777777">
        <w:tblPrEx>
          <w:tblCellMar>
            <w:top w:w="0" w:type="dxa"/>
            <w:bottom w:w="0" w:type="dxa"/>
          </w:tblCellMar>
        </w:tblPrEx>
        <w:tc>
          <w:tcPr>
            <w:tcW w:w="791" w:type="dxa"/>
          </w:tcPr>
          <w:p w14:paraId="5ECEBB88" w14:textId="77777777" w:rsidR="00C25C7D" w:rsidRPr="008B4DA8" w:rsidRDefault="00C25C7D" w:rsidP="00360FB0">
            <w:pPr>
              <w:jc w:val="both"/>
              <w:rPr>
                <w:sz w:val="20"/>
              </w:rPr>
            </w:pPr>
            <w:r w:rsidRPr="008B4DA8">
              <w:rPr>
                <w:sz w:val="20"/>
              </w:rPr>
              <w:t>8</w:t>
            </w:r>
          </w:p>
        </w:tc>
        <w:tc>
          <w:tcPr>
            <w:tcW w:w="2011" w:type="dxa"/>
          </w:tcPr>
          <w:p w14:paraId="3BFD4585" w14:textId="77777777" w:rsidR="00C25C7D" w:rsidRPr="008B4DA8" w:rsidRDefault="00C25C7D" w:rsidP="00360FB0">
            <w:pPr>
              <w:jc w:val="both"/>
              <w:rPr>
                <w:sz w:val="20"/>
              </w:rPr>
            </w:pPr>
            <w:r w:rsidRPr="008B4DA8">
              <w:rPr>
                <w:sz w:val="20"/>
              </w:rPr>
              <w:t>Teaching 5</w:t>
            </w:r>
          </w:p>
        </w:tc>
        <w:tc>
          <w:tcPr>
            <w:tcW w:w="5845" w:type="dxa"/>
          </w:tcPr>
          <w:p w14:paraId="7E60D57B" w14:textId="77777777" w:rsidR="00C25C7D" w:rsidRPr="008B4DA8" w:rsidRDefault="00500855" w:rsidP="00360FB0">
            <w:pPr>
              <w:jc w:val="both"/>
              <w:rPr>
                <w:b/>
                <w:sz w:val="20"/>
                <w:lang w:eastAsia="en-US"/>
              </w:rPr>
            </w:pPr>
            <w:r w:rsidRPr="008B4DA8">
              <w:rPr>
                <w:sz w:val="20"/>
              </w:rPr>
              <w:t>Theories and Strategies for LearningDFM1230 – Formative Task 1</w:t>
            </w:r>
          </w:p>
        </w:tc>
      </w:tr>
      <w:tr w:rsidR="00C25C7D" w:rsidRPr="008B4DA8" w14:paraId="6567E0D2" w14:textId="77777777">
        <w:tblPrEx>
          <w:tblCellMar>
            <w:top w:w="0" w:type="dxa"/>
            <w:bottom w:w="0" w:type="dxa"/>
          </w:tblCellMar>
        </w:tblPrEx>
        <w:tc>
          <w:tcPr>
            <w:tcW w:w="791" w:type="dxa"/>
          </w:tcPr>
          <w:p w14:paraId="418F50B6" w14:textId="77777777" w:rsidR="00C25C7D" w:rsidRPr="008B4DA8" w:rsidRDefault="00C25C7D" w:rsidP="00360FB0">
            <w:pPr>
              <w:jc w:val="both"/>
              <w:rPr>
                <w:sz w:val="20"/>
              </w:rPr>
            </w:pPr>
            <w:r w:rsidRPr="008B4DA8">
              <w:rPr>
                <w:sz w:val="20"/>
              </w:rPr>
              <w:t>9</w:t>
            </w:r>
          </w:p>
        </w:tc>
        <w:tc>
          <w:tcPr>
            <w:tcW w:w="2011" w:type="dxa"/>
          </w:tcPr>
          <w:p w14:paraId="32183F51" w14:textId="77777777" w:rsidR="00C25C7D" w:rsidRPr="008B4DA8" w:rsidRDefault="00C25C7D" w:rsidP="00360FB0">
            <w:pPr>
              <w:jc w:val="both"/>
              <w:rPr>
                <w:sz w:val="20"/>
              </w:rPr>
            </w:pPr>
            <w:r w:rsidRPr="008B4DA8">
              <w:rPr>
                <w:sz w:val="20"/>
              </w:rPr>
              <w:t>Teaching 6</w:t>
            </w:r>
          </w:p>
        </w:tc>
        <w:tc>
          <w:tcPr>
            <w:tcW w:w="5845" w:type="dxa"/>
          </w:tcPr>
          <w:p w14:paraId="6741E129" w14:textId="77777777" w:rsidR="00C25C7D" w:rsidRPr="008B4DA8" w:rsidRDefault="00C25C7D" w:rsidP="00360FB0">
            <w:pPr>
              <w:jc w:val="both"/>
              <w:rPr>
                <w:sz w:val="20"/>
                <w:lang w:eastAsia="en-US"/>
              </w:rPr>
            </w:pPr>
          </w:p>
        </w:tc>
      </w:tr>
      <w:tr w:rsidR="00C25C7D" w:rsidRPr="008B4DA8" w14:paraId="3FC63C34" w14:textId="77777777">
        <w:tblPrEx>
          <w:tblCellMar>
            <w:top w:w="0" w:type="dxa"/>
            <w:bottom w:w="0" w:type="dxa"/>
          </w:tblCellMar>
        </w:tblPrEx>
        <w:tc>
          <w:tcPr>
            <w:tcW w:w="791" w:type="dxa"/>
          </w:tcPr>
          <w:p w14:paraId="5D28CCF3" w14:textId="77777777" w:rsidR="00C25C7D" w:rsidRPr="008B4DA8" w:rsidRDefault="00C25C7D" w:rsidP="00360FB0">
            <w:pPr>
              <w:jc w:val="both"/>
              <w:rPr>
                <w:sz w:val="20"/>
              </w:rPr>
            </w:pPr>
            <w:r w:rsidRPr="008B4DA8">
              <w:rPr>
                <w:sz w:val="20"/>
              </w:rPr>
              <w:t>10</w:t>
            </w:r>
          </w:p>
        </w:tc>
        <w:tc>
          <w:tcPr>
            <w:tcW w:w="2011" w:type="dxa"/>
          </w:tcPr>
          <w:p w14:paraId="014B7F5E" w14:textId="77777777" w:rsidR="00C25C7D" w:rsidRPr="008B4DA8" w:rsidRDefault="00C25C7D" w:rsidP="00360FB0">
            <w:pPr>
              <w:jc w:val="both"/>
              <w:rPr>
                <w:sz w:val="20"/>
              </w:rPr>
            </w:pPr>
            <w:r w:rsidRPr="008B4DA8">
              <w:rPr>
                <w:sz w:val="20"/>
              </w:rPr>
              <w:t xml:space="preserve">Teaching 7 </w:t>
            </w:r>
          </w:p>
        </w:tc>
        <w:tc>
          <w:tcPr>
            <w:tcW w:w="5845" w:type="dxa"/>
          </w:tcPr>
          <w:p w14:paraId="4861DAA4" w14:textId="77777777" w:rsidR="00C25C7D" w:rsidRPr="008B4DA8" w:rsidRDefault="00C25C7D" w:rsidP="00360FB0">
            <w:pPr>
              <w:jc w:val="both"/>
              <w:rPr>
                <w:sz w:val="20"/>
              </w:rPr>
            </w:pPr>
            <w:r w:rsidRPr="008B4DA8">
              <w:rPr>
                <w:sz w:val="20"/>
              </w:rPr>
              <w:t xml:space="preserve">Foundations for Practice (30 credits) DFU1330: Summative </w:t>
            </w:r>
          </w:p>
          <w:p w14:paraId="6D0DA6D5" w14:textId="77777777" w:rsidR="00C25C7D" w:rsidRPr="008B4DA8" w:rsidRDefault="00C25C7D" w:rsidP="00360FB0">
            <w:pPr>
              <w:jc w:val="both"/>
              <w:rPr>
                <w:sz w:val="20"/>
                <w:lang w:eastAsia="en-US"/>
              </w:rPr>
            </w:pPr>
            <w:r w:rsidRPr="008B4DA8">
              <w:rPr>
                <w:sz w:val="20"/>
              </w:rPr>
              <w:t>test</w:t>
            </w:r>
          </w:p>
        </w:tc>
      </w:tr>
      <w:tr w:rsidR="00C25C7D" w:rsidRPr="008B4DA8" w14:paraId="560A56A9" w14:textId="77777777">
        <w:tblPrEx>
          <w:tblCellMar>
            <w:top w:w="0" w:type="dxa"/>
            <w:bottom w:w="0" w:type="dxa"/>
          </w:tblCellMar>
        </w:tblPrEx>
        <w:tc>
          <w:tcPr>
            <w:tcW w:w="791" w:type="dxa"/>
          </w:tcPr>
          <w:p w14:paraId="3300766D" w14:textId="77777777" w:rsidR="00C25C7D" w:rsidRPr="008B4DA8" w:rsidRDefault="00C25C7D" w:rsidP="00360FB0">
            <w:pPr>
              <w:jc w:val="both"/>
              <w:rPr>
                <w:sz w:val="20"/>
              </w:rPr>
            </w:pPr>
            <w:r w:rsidRPr="008B4DA8">
              <w:rPr>
                <w:sz w:val="20"/>
              </w:rPr>
              <w:t>11</w:t>
            </w:r>
          </w:p>
        </w:tc>
        <w:tc>
          <w:tcPr>
            <w:tcW w:w="2011" w:type="dxa"/>
          </w:tcPr>
          <w:p w14:paraId="33CBFDC7" w14:textId="77777777" w:rsidR="00C25C7D" w:rsidRPr="008B4DA8" w:rsidRDefault="00C25C7D" w:rsidP="00360FB0">
            <w:pPr>
              <w:jc w:val="both"/>
              <w:rPr>
                <w:sz w:val="20"/>
              </w:rPr>
            </w:pPr>
            <w:r w:rsidRPr="008B4DA8">
              <w:rPr>
                <w:sz w:val="20"/>
              </w:rPr>
              <w:t>Teaching 8</w:t>
            </w:r>
          </w:p>
        </w:tc>
        <w:tc>
          <w:tcPr>
            <w:tcW w:w="5845" w:type="dxa"/>
          </w:tcPr>
          <w:p w14:paraId="33D38E64" w14:textId="77777777" w:rsidR="00C25C7D" w:rsidRPr="008B4DA8" w:rsidRDefault="00C25C7D" w:rsidP="00360FB0">
            <w:pPr>
              <w:jc w:val="both"/>
              <w:rPr>
                <w:sz w:val="20"/>
                <w:lang w:eastAsia="en-US"/>
              </w:rPr>
            </w:pPr>
            <w:proofErr w:type="spellStart"/>
            <w:r w:rsidRPr="008B4DA8">
              <w:rPr>
                <w:sz w:val="20"/>
              </w:rPr>
              <w:t>Self Society</w:t>
            </w:r>
            <w:proofErr w:type="spellEnd"/>
            <w:r w:rsidRPr="008B4DA8">
              <w:rPr>
                <w:sz w:val="20"/>
              </w:rPr>
              <w:t xml:space="preserve"> and Welfare Module – Formative test</w:t>
            </w:r>
          </w:p>
        </w:tc>
      </w:tr>
      <w:tr w:rsidR="00C25C7D" w:rsidRPr="008B4DA8" w14:paraId="44EA77E7" w14:textId="77777777">
        <w:tblPrEx>
          <w:tblCellMar>
            <w:top w:w="0" w:type="dxa"/>
            <w:bottom w:w="0" w:type="dxa"/>
          </w:tblCellMar>
        </w:tblPrEx>
        <w:tc>
          <w:tcPr>
            <w:tcW w:w="791" w:type="dxa"/>
          </w:tcPr>
          <w:p w14:paraId="65AB8468" w14:textId="77777777" w:rsidR="00C25C7D" w:rsidRPr="008B4DA8" w:rsidRDefault="00C25C7D" w:rsidP="00360FB0">
            <w:pPr>
              <w:jc w:val="both"/>
              <w:rPr>
                <w:sz w:val="20"/>
              </w:rPr>
            </w:pPr>
            <w:r w:rsidRPr="008B4DA8">
              <w:rPr>
                <w:sz w:val="20"/>
              </w:rPr>
              <w:t>12</w:t>
            </w:r>
          </w:p>
        </w:tc>
        <w:tc>
          <w:tcPr>
            <w:tcW w:w="2011" w:type="dxa"/>
          </w:tcPr>
          <w:p w14:paraId="00038305" w14:textId="77777777" w:rsidR="00C25C7D" w:rsidRPr="008B4DA8" w:rsidRDefault="00C25C7D" w:rsidP="00360FB0">
            <w:pPr>
              <w:jc w:val="both"/>
              <w:rPr>
                <w:sz w:val="20"/>
              </w:rPr>
            </w:pPr>
            <w:r w:rsidRPr="008B4DA8">
              <w:rPr>
                <w:sz w:val="20"/>
              </w:rPr>
              <w:t>Teaching 9</w:t>
            </w:r>
          </w:p>
        </w:tc>
        <w:tc>
          <w:tcPr>
            <w:tcW w:w="5845" w:type="dxa"/>
          </w:tcPr>
          <w:p w14:paraId="21C60640" w14:textId="77777777" w:rsidR="00C25C7D" w:rsidRPr="008B4DA8" w:rsidRDefault="00C25C7D" w:rsidP="00360FB0">
            <w:pPr>
              <w:jc w:val="both"/>
              <w:rPr>
                <w:sz w:val="20"/>
                <w:lang w:eastAsia="en-US"/>
              </w:rPr>
            </w:pPr>
            <w:r w:rsidRPr="008B4DA8">
              <w:rPr>
                <w:sz w:val="20"/>
              </w:rPr>
              <w:t>Theories and Strategies for LearningDFM1230 – Summative Task 1</w:t>
            </w:r>
          </w:p>
        </w:tc>
      </w:tr>
      <w:tr w:rsidR="00C25C7D" w:rsidRPr="008B4DA8" w14:paraId="3F070BF5" w14:textId="77777777">
        <w:tblPrEx>
          <w:tblCellMar>
            <w:top w:w="0" w:type="dxa"/>
            <w:bottom w:w="0" w:type="dxa"/>
          </w:tblCellMar>
        </w:tblPrEx>
        <w:tc>
          <w:tcPr>
            <w:tcW w:w="791" w:type="dxa"/>
          </w:tcPr>
          <w:p w14:paraId="7206B87C" w14:textId="77777777" w:rsidR="00C25C7D" w:rsidRPr="008B4DA8" w:rsidRDefault="00C25C7D" w:rsidP="00360FB0">
            <w:pPr>
              <w:jc w:val="both"/>
              <w:rPr>
                <w:sz w:val="20"/>
              </w:rPr>
            </w:pPr>
            <w:r w:rsidRPr="008B4DA8">
              <w:rPr>
                <w:sz w:val="20"/>
              </w:rPr>
              <w:t>13</w:t>
            </w:r>
          </w:p>
        </w:tc>
        <w:tc>
          <w:tcPr>
            <w:tcW w:w="2011" w:type="dxa"/>
          </w:tcPr>
          <w:p w14:paraId="06E07439" w14:textId="77777777" w:rsidR="00C25C7D" w:rsidRPr="008B4DA8" w:rsidRDefault="00C25C7D" w:rsidP="00360FB0">
            <w:pPr>
              <w:jc w:val="both"/>
              <w:rPr>
                <w:sz w:val="20"/>
              </w:rPr>
            </w:pPr>
            <w:r w:rsidRPr="008B4DA8">
              <w:rPr>
                <w:sz w:val="20"/>
              </w:rPr>
              <w:t>Teaching 10</w:t>
            </w:r>
          </w:p>
        </w:tc>
        <w:tc>
          <w:tcPr>
            <w:tcW w:w="5845" w:type="dxa"/>
          </w:tcPr>
          <w:p w14:paraId="6BD755E4" w14:textId="77777777" w:rsidR="00C25C7D" w:rsidRPr="008B4DA8" w:rsidRDefault="00C25C7D" w:rsidP="00360FB0">
            <w:pPr>
              <w:jc w:val="both"/>
              <w:rPr>
                <w:sz w:val="20"/>
                <w:lang w:eastAsia="en-US"/>
              </w:rPr>
            </w:pPr>
          </w:p>
        </w:tc>
      </w:tr>
      <w:tr w:rsidR="00C25C7D" w:rsidRPr="008B4DA8" w14:paraId="2FE42244" w14:textId="77777777">
        <w:tblPrEx>
          <w:tblCellMar>
            <w:top w:w="0" w:type="dxa"/>
            <w:bottom w:w="0" w:type="dxa"/>
          </w:tblCellMar>
        </w:tblPrEx>
        <w:tc>
          <w:tcPr>
            <w:tcW w:w="791" w:type="dxa"/>
          </w:tcPr>
          <w:p w14:paraId="0C6280DC" w14:textId="77777777" w:rsidR="00C25C7D" w:rsidRPr="008B4DA8" w:rsidRDefault="00C25C7D" w:rsidP="00360FB0">
            <w:pPr>
              <w:jc w:val="both"/>
              <w:rPr>
                <w:sz w:val="20"/>
              </w:rPr>
            </w:pPr>
            <w:r w:rsidRPr="008B4DA8">
              <w:rPr>
                <w:sz w:val="20"/>
              </w:rPr>
              <w:t>14</w:t>
            </w:r>
          </w:p>
        </w:tc>
        <w:tc>
          <w:tcPr>
            <w:tcW w:w="2011" w:type="dxa"/>
          </w:tcPr>
          <w:p w14:paraId="39F63D02" w14:textId="77777777" w:rsidR="00C25C7D" w:rsidRPr="008B4DA8" w:rsidRDefault="00C25C7D" w:rsidP="00360FB0">
            <w:pPr>
              <w:jc w:val="both"/>
              <w:rPr>
                <w:sz w:val="20"/>
              </w:rPr>
            </w:pPr>
            <w:r w:rsidRPr="008B4DA8">
              <w:rPr>
                <w:sz w:val="20"/>
              </w:rPr>
              <w:t>Teaching 11</w:t>
            </w:r>
          </w:p>
        </w:tc>
        <w:tc>
          <w:tcPr>
            <w:tcW w:w="5845" w:type="dxa"/>
          </w:tcPr>
          <w:p w14:paraId="368F3B56" w14:textId="77777777" w:rsidR="00C25C7D" w:rsidRPr="008B4DA8" w:rsidRDefault="00C25C7D" w:rsidP="00360FB0">
            <w:pPr>
              <w:jc w:val="both"/>
              <w:rPr>
                <w:sz w:val="20"/>
                <w:lang w:eastAsia="en-US"/>
              </w:rPr>
            </w:pPr>
            <w:r w:rsidRPr="008B4DA8">
              <w:rPr>
                <w:sz w:val="20"/>
              </w:rPr>
              <w:t>Perspectives on Learning and Development – Formative assessment</w:t>
            </w:r>
          </w:p>
        </w:tc>
      </w:tr>
      <w:tr w:rsidR="00C25C7D" w:rsidRPr="008B4DA8" w14:paraId="02E9F3B5" w14:textId="77777777">
        <w:tblPrEx>
          <w:tblCellMar>
            <w:top w:w="0" w:type="dxa"/>
            <w:bottom w:w="0" w:type="dxa"/>
          </w:tblCellMar>
        </w:tblPrEx>
        <w:tc>
          <w:tcPr>
            <w:tcW w:w="791" w:type="dxa"/>
          </w:tcPr>
          <w:p w14:paraId="5E03643E" w14:textId="77777777" w:rsidR="00C25C7D" w:rsidRPr="008B4DA8" w:rsidRDefault="00C25C7D" w:rsidP="00360FB0">
            <w:pPr>
              <w:jc w:val="both"/>
              <w:rPr>
                <w:sz w:val="20"/>
              </w:rPr>
            </w:pPr>
            <w:r w:rsidRPr="008B4DA8">
              <w:rPr>
                <w:sz w:val="20"/>
              </w:rPr>
              <w:t>15</w:t>
            </w:r>
          </w:p>
        </w:tc>
        <w:tc>
          <w:tcPr>
            <w:tcW w:w="2011" w:type="dxa"/>
          </w:tcPr>
          <w:p w14:paraId="43297AAF" w14:textId="77777777" w:rsidR="00C25C7D" w:rsidRPr="008B4DA8" w:rsidRDefault="00C25C7D" w:rsidP="00360FB0">
            <w:pPr>
              <w:jc w:val="both"/>
              <w:rPr>
                <w:sz w:val="20"/>
              </w:rPr>
            </w:pPr>
            <w:r w:rsidRPr="008B4DA8">
              <w:rPr>
                <w:sz w:val="20"/>
              </w:rPr>
              <w:t>Teaching 12</w:t>
            </w:r>
          </w:p>
        </w:tc>
        <w:tc>
          <w:tcPr>
            <w:tcW w:w="5845" w:type="dxa"/>
          </w:tcPr>
          <w:p w14:paraId="29547573" w14:textId="77777777" w:rsidR="00C25C7D" w:rsidRDefault="00C25C7D" w:rsidP="00360FB0">
            <w:pPr>
              <w:jc w:val="both"/>
              <w:rPr>
                <w:sz w:val="20"/>
              </w:rPr>
            </w:pPr>
            <w:proofErr w:type="spellStart"/>
            <w:r w:rsidRPr="008B4DA8">
              <w:rPr>
                <w:sz w:val="20"/>
              </w:rPr>
              <w:t>Self Society</w:t>
            </w:r>
            <w:proofErr w:type="spellEnd"/>
            <w:r w:rsidRPr="008B4DA8">
              <w:rPr>
                <w:sz w:val="20"/>
              </w:rPr>
              <w:t xml:space="preserve"> and Welfare Module – Summative test</w:t>
            </w:r>
          </w:p>
          <w:p w14:paraId="282A8981" w14:textId="77777777" w:rsidR="00500855" w:rsidRPr="008B4DA8" w:rsidRDefault="00500855" w:rsidP="00360FB0">
            <w:pPr>
              <w:jc w:val="both"/>
              <w:rPr>
                <w:sz w:val="20"/>
              </w:rPr>
            </w:pPr>
            <w:r w:rsidRPr="008B4DA8">
              <w:rPr>
                <w:sz w:val="20"/>
              </w:rPr>
              <w:t>Theories and Strategies for LearningDFM1230 – Summative Task 2</w:t>
            </w:r>
          </w:p>
        </w:tc>
      </w:tr>
      <w:tr w:rsidR="00C25C7D" w:rsidRPr="008B4DA8" w14:paraId="565428F2" w14:textId="77777777">
        <w:tblPrEx>
          <w:tblCellMar>
            <w:top w:w="0" w:type="dxa"/>
            <w:bottom w:w="0" w:type="dxa"/>
          </w:tblCellMar>
        </w:tblPrEx>
        <w:tc>
          <w:tcPr>
            <w:tcW w:w="791" w:type="dxa"/>
          </w:tcPr>
          <w:p w14:paraId="64371210" w14:textId="77777777" w:rsidR="00C25C7D" w:rsidRPr="008B4DA8" w:rsidRDefault="00C25C7D" w:rsidP="00360FB0">
            <w:pPr>
              <w:jc w:val="both"/>
              <w:rPr>
                <w:sz w:val="20"/>
              </w:rPr>
            </w:pPr>
            <w:r w:rsidRPr="008B4DA8">
              <w:rPr>
                <w:sz w:val="20"/>
              </w:rPr>
              <w:t>16</w:t>
            </w:r>
          </w:p>
        </w:tc>
        <w:tc>
          <w:tcPr>
            <w:tcW w:w="2011" w:type="dxa"/>
          </w:tcPr>
          <w:p w14:paraId="2FBCC935" w14:textId="77777777" w:rsidR="00C25C7D" w:rsidRPr="008B4DA8" w:rsidRDefault="00C25C7D" w:rsidP="00360FB0">
            <w:pPr>
              <w:jc w:val="both"/>
              <w:rPr>
                <w:sz w:val="20"/>
              </w:rPr>
            </w:pPr>
            <w:r w:rsidRPr="008B4DA8">
              <w:rPr>
                <w:sz w:val="20"/>
              </w:rPr>
              <w:t>Xmas</w:t>
            </w:r>
          </w:p>
        </w:tc>
        <w:tc>
          <w:tcPr>
            <w:tcW w:w="5845" w:type="dxa"/>
          </w:tcPr>
          <w:p w14:paraId="787FB51E" w14:textId="77777777" w:rsidR="00C25C7D" w:rsidRPr="008B4DA8" w:rsidRDefault="00C25C7D" w:rsidP="00360FB0">
            <w:pPr>
              <w:jc w:val="both"/>
              <w:rPr>
                <w:sz w:val="20"/>
                <w:lang w:eastAsia="en-US"/>
              </w:rPr>
            </w:pPr>
          </w:p>
        </w:tc>
      </w:tr>
      <w:tr w:rsidR="00C25C7D" w:rsidRPr="008B4DA8" w14:paraId="07A1850E" w14:textId="77777777">
        <w:tblPrEx>
          <w:tblCellMar>
            <w:top w:w="0" w:type="dxa"/>
            <w:bottom w:w="0" w:type="dxa"/>
          </w:tblCellMar>
        </w:tblPrEx>
        <w:tc>
          <w:tcPr>
            <w:tcW w:w="791" w:type="dxa"/>
          </w:tcPr>
          <w:p w14:paraId="75B3BF3A" w14:textId="77777777" w:rsidR="00C25C7D" w:rsidRPr="008B4DA8" w:rsidRDefault="00C25C7D" w:rsidP="00360FB0">
            <w:pPr>
              <w:jc w:val="both"/>
              <w:rPr>
                <w:sz w:val="20"/>
              </w:rPr>
            </w:pPr>
            <w:r w:rsidRPr="008B4DA8">
              <w:rPr>
                <w:sz w:val="20"/>
              </w:rPr>
              <w:t>17</w:t>
            </w:r>
          </w:p>
        </w:tc>
        <w:tc>
          <w:tcPr>
            <w:tcW w:w="2011" w:type="dxa"/>
          </w:tcPr>
          <w:p w14:paraId="0BBC02D1" w14:textId="77777777" w:rsidR="00C25C7D" w:rsidRPr="008B4DA8" w:rsidRDefault="00C25C7D" w:rsidP="00360FB0">
            <w:pPr>
              <w:jc w:val="both"/>
              <w:rPr>
                <w:sz w:val="20"/>
              </w:rPr>
            </w:pPr>
            <w:r w:rsidRPr="008B4DA8">
              <w:rPr>
                <w:sz w:val="20"/>
              </w:rPr>
              <w:t>Xmas</w:t>
            </w:r>
          </w:p>
        </w:tc>
        <w:tc>
          <w:tcPr>
            <w:tcW w:w="5845" w:type="dxa"/>
          </w:tcPr>
          <w:p w14:paraId="46C4D162" w14:textId="77777777" w:rsidR="00C25C7D" w:rsidRPr="008B4DA8" w:rsidRDefault="00C25C7D" w:rsidP="00360FB0">
            <w:pPr>
              <w:jc w:val="both"/>
              <w:rPr>
                <w:sz w:val="20"/>
                <w:lang w:eastAsia="en-US"/>
              </w:rPr>
            </w:pPr>
          </w:p>
        </w:tc>
      </w:tr>
      <w:tr w:rsidR="00C25C7D" w:rsidRPr="008B4DA8" w14:paraId="7CF184E7" w14:textId="77777777">
        <w:tblPrEx>
          <w:tblCellMar>
            <w:top w:w="0" w:type="dxa"/>
            <w:bottom w:w="0" w:type="dxa"/>
          </w:tblCellMar>
        </w:tblPrEx>
        <w:tc>
          <w:tcPr>
            <w:tcW w:w="791" w:type="dxa"/>
          </w:tcPr>
          <w:p w14:paraId="5A7A2581" w14:textId="77777777" w:rsidR="00C25C7D" w:rsidRPr="008B4DA8" w:rsidRDefault="00C25C7D" w:rsidP="00360FB0">
            <w:pPr>
              <w:jc w:val="both"/>
              <w:rPr>
                <w:sz w:val="20"/>
              </w:rPr>
            </w:pPr>
            <w:r w:rsidRPr="008B4DA8">
              <w:rPr>
                <w:sz w:val="20"/>
              </w:rPr>
              <w:t>18</w:t>
            </w:r>
          </w:p>
        </w:tc>
        <w:tc>
          <w:tcPr>
            <w:tcW w:w="2011" w:type="dxa"/>
          </w:tcPr>
          <w:p w14:paraId="1AFDA147" w14:textId="77777777" w:rsidR="00C25C7D" w:rsidRPr="008B4DA8" w:rsidRDefault="00C25C7D" w:rsidP="00360FB0">
            <w:pPr>
              <w:jc w:val="both"/>
              <w:rPr>
                <w:sz w:val="20"/>
              </w:rPr>
            </w:pPr>
            <w:r w:rsidRPr="008B4DA8">
              <w:rPr>
                <w:sz w:val="20"/>
              </w:rPr>
              <w:t>Xmas</w:t>
            </w:r>
          </w:p>
        </w:tc>
        <w:tc>
          <w:tcPr>
            <w:tcW w:w="5845" w:type="dxa"/>
          </w:tcPr>
          <w:p w14:paraId="0F20EB5A" w14:textId="77777777" w:rsidR="00C25C7D" w:rsidRPr="008B4DA8" w:rsidRDefault="00C25C7D" w:rsidP="00360FB0">
            <w:pPr>
              <w:jc w:val="both"/>
              <w:rPr>
                <w:sz w:val="20"/>
                <w:lang w:eastAsia="en-US"/>
              </w:rPr>
            </w:pPr>
          </w:p>
        </w:tc>
      </w:tr>
      <w:tr w:rsidR="00C25C7D" w:rsidRPr="008B4DA8" w14:paraId="4FD80DF5" w14:textId="77777777">
        <w:tblPrEx>
          <w:tblCellMar>
            <w:top w:w="0" w:type="dxa"/>
            <w:bottom w:w="0" w:type="dxa"/>
          </w:tblCellMar>
        </w:tblPrEx>
        <w:tc>
          <w:tcPr>
            <w:tcW w:w="791" w:type="dxa"/>
          </w:tcPr>
          <w:p w14:paraId="58848E5F" w14:textId="77777777" w:rsidR="00C25C7D" w:rsidRPr="008B4DA8" w:rsidRDefault="00C25C7D" w:rsidP="00360FB0">
            <w:pPr>
              <w:jc w:val="both"/>
              <w:rPr>
                <w:sz w:val="20"/>
              </w:rPr>
            </w:pPr>
            <w:r w:rsidRPr="008B4DA8">
              <w:rPr>
                <w:sz w:val="20"/>
              </w:rPr>
              <w:t>19</w:t>
            </w:r>
          </w:p>
        </w:tc>
        <w:tc>
          <w:tcPr>
            <w:tcW w:w="2011" w:type="dxa"/>
          </w:tcPr>
          <w:p w14:paraId="7056C779" w14:textId="77777777" w:rsidR="00C25C7D" w:rsidRPr="008B4DA8" w:rsidRDefault="00C25C7D" w:rsidP="00360FB0">
            <w:pPr>
              <w:jc w:val="both"/>
              <w:rPr>
                <w:sz w:val="20"/>
              </w:rPr>
            </w:pPr>
            <w:r w:rsidRPr="008B4DA8">
              <w:rPr>
                <w:sz w:val="20"/>
              </w:rPr>
              <w:t>Teaching 13</w:t>
            </w:r>
          </w:p>
        </w:tc>
        <w:tc>
          <w:tcPr>
            <w:tcW w:w="5845" w:type="dxa"/>
          </w:tcPr>
          <w:p w14:paraId="4C2F5B8D" w14:textId="77777777" w:rsidR="00C25C7D" w:rsidRPr="008B4DA8" w:rsidRDefault="00C25C7D" w:rsidP="00360FB0">
            <w:pPr>
              <w:jc w:val="both"/>
              <w:rPr>
                <w:sz w:val="20"/>
                <w:lang w:eastAsia="en-US"/>
              </w:rPr>
            </w:pPr>
          </w:p>
        </w:tc>
      </w:tr>
      <w:tr w:rsidR="00C25C7D" w:rsidRPr="008B4DA8" w14:paraId="5E6CB4F2" w14:textId="77777777">
        <w:tblPrEx>
          <w:tblCellMar>
            <w:top w:w="0" w:type="dxa"/>
            <w:bottom w:w="0" w:type="dxa"/>
          </w:tblCellMar>
        </w:tblPrEx>
        <w:tc>
          <w:tcPr>
            <w:tcW w:w="791" w:type="dxa"/>
          </w:tcPr>
          <w:p w14:paraId="2E9C52C3" w14:textId="77777777" w:rsidR="00C25C7D" w:rsidRPr="008B4DA8" w:rsidRDefault="00C25C7D" w:rsidP="00360FB0">
            <w:pPr>
              <w:jc w:val="both"/>
              <w:rPr>
                <w:sz w:val="20"/>
              </w:rPr>
            </w:pPr>
            <w:r w:rsidRPr="008B4DA8">
              <w:rPr>
                <w:sz w:val="20"/>
              </w:rPr>
              <w:t>20</w:t>
            </w:r>
          </w:p>
        </w:tc>
        <w:tc>
          <w:tcPr>
            <w:tcW w:w="2011" w:type="dxa"/>
          </w:tcPr>
          <w:p w14:paraId="3E1FC5C0" w14:textId="77777777" w:rsidR="00C25C7D" w:rsidRPr="008B4DA8" w:rsidRDefault="00C25C7D" w:rsidP="00360FB0">
            <w:pPr>
              <w:jc w:val="both"/>
              <w:rPr>
                <w:sz w:val="20"/>
              </w:rPr>
            </w:pPr>
            <w:r w:rsidRPr="008B4DA8">
              <w:rPr>
                <w:sz w:val="20"/>
              </w:rPr>
              <w:t>Teaching 14</w:t>
            </w:r>
          </w:p>
        </w:tc>
        <w:tc>
          <w:tcPr>
            <w:tcW w:w="5845" w:type="dxa"/>
          </w:tcPr>
          <w:p w14:paraId="63F23874" w14:textId="77777777" w:rsidR="00C25C7D" w:rsidRPr="008B4DA8" w:rsidRDefault="00C25C7D" w:rsidP="00360FB0">
            <w:pPr>
              <w:jc w:val="both"/>
              <w:rPr>
                <w:sz w:val="20"/>
                <w:lang w:eastAsia="en-US"/>
              </w:rPr>
            </w:pPr>
            <w:r w:rsidRPr="008B4DA8">
              <w:rPr>
                <w:sz w:val="20"/>
              </w:rPr>
              <w:t>Perspectives on Learning and Development – Summative display</w:t>
            </w:r>
          </w:p>
        </w:tc>
      </w:tr>
      <w:tr w:rsidR="00C25C7D" w:rsidRPr="008B4DA8" w14:paraId="4FD545F9" w14:textId="77777777">
        <w:tblPrEx>
          <w:tblCellMar>
            <w:top w:w="0" w:type="dxa"/>
            <w:bottom w:w="0" w:type="dxa"/>
          </w:tblCellMar>
        </w:tblPrEx>
        <w:tc>
          <w:tcPr>
            <w:tcW w:w="791" w:type="dxa"/>
          </w:tcPr>
          <w:p w14:paraId="0B669CF5" w14:textId="77777777" w:rsidR="00C25C7D" w:rsidRPr="008B4DA8" w:rsidRDefault="00C25C7D" w:rsidP="00360FB0">
            <w:pPr>
              <w:jc w:val="both"/>
              <w:rPr>
                <w:sz w:val="20"/>
              </w:rPr>
            </w:pPr>
            <w:r w:rsidRPr="008B4DA8">
              <w:rPr>
                <w:sz w:val="20"/>
              </w:rPr>
              <w:t>21</w:t>
            </w:r>
          </w:p>
        </w:tc>
        <w:tc>
          <w:tcPr>
            <w:tcW w:w="2011" w:type="dxa"/>
          </w:tcPr>
          <w:p w14:paraId="7AA00BD6" w14:textId="77777777" w:rsidR="00C25C7D" w:rsidRPr="008B4DA8" w:rsidRDefault="00C25C7D" w:rsidP="00360FB0">
            <w:pPr>
              <w:jc w:val="both"/>
              <w:rPr>
                <w:sz w:val="20"/>
              </w:rPr>
            </w:pPr>
            <w:r w:rsidRPr="008B4DA8">
              <w:rPr>
                <w:sz w:val="20"/>
              </w:rPr>
              <w:t>Teaching 15</w:t>
            </w:r>
          </w:p>
        </w:tc>
        <w:tc>
          <w:tcPr>
            <w:tcW w:w="5845" w:type="dxa"/>
          </w:tcPr>
          <w:p w14:paraId="68F310B8" w14:textId="77777777" w:rsidR="00C25C7D" w:rsidRPr="008B4DA8" w:rsidRDefault="00C25C7D" w:rsidP="00360FB0">
            <w:pPr>
              <w:jc w:val="both"/>
              <w:rPr>
                <w:sz w:val="20"/>
                <w:lang w:eastAsia="en-US"/>
              </w:rPr>
            </w:pPr>
          </w:p>
        </w:tc>
      </w:tr>
      <w:tr w:rsidR="00C25C7D" w:rsidRPr="008B4DA8" w14:paraId="241D9454" w14:textId="77777777">
        <w:tblPrEx>
          <w:tblCellMar>
            <w:top w:w="0" w:type="dxa"/>
            <w:bottom w:w="0" w:type="dxa"/>
          </w:tblCellMar>
        </w:tblPrEx>
        <w:tc>
          <w:tcPr>
            <w:tcW w:w="791" w:type="dxa"/>
          </w:tcPr>
          <w:p w14:paraId="43EA4736" w14:textId="77777777" w:rsidR="00C25C7D" w:rsidRPr="008B4DA8" w:rsidRDefault="00C25C7D" w:rsidP="00360FB0">
            <w:pPr>
              <w:jc w:val="both"/>
              <w:rPr>
                <w:sz w:val="20"/>
              </w:rPr>
            </w:pPr>
            <w:r w:rsidRPr="008B4DA8">
              <w:rPr>
                <w:sz w:val="20"/>
              </w:rPr>
              <w:t>22</w:t>
            </w:r>
          </w:p>
        </w:tc>
        <w:tc>
          <w:tcPr>
            <w:tcW w:w="2011" w:type="dxa"/>
          </w:tcPr>
          <w:p w14:paraId="0DBAAFB9" w14:textId="77777777" w:rsidR="00C25C7D" w:rsidRPr="008B4DA8" w:rsidRDefault="00C25C7D" w:rsidP="00360FB0">
            <w:pPr>
              <w:jc w:val="both"/>
              <w:rPr>
                <w:sz w:val="20"/>
              </w:rPr>
            </w:pPr>
            <w:r w:rsidRPr="008B4DA8">
              <w:rPr>
                <w:sz w:val="20"/>
              </w:rPr>
              <w:t>Teaching 16</w:t>
            </w:r>
          </w:p>
        </w:tc>
        <w:tc>
          <w:tcPr>
            <w:tcW w:w="5845" w:type="dxa"/>
          </w:tcPr>
          <w:p w14:paraId="4DF3FC29" w14:textId="77777777" w:rsidR="00C25C7D" w:rsidRPr="008B4DA8" w:rsidRDefault="00C25C7D" w:rsidP="00360FB0">
            <w:pPr>
              <w:jc w:val="both"/>
              <w:rPr>
                <w:sz w:val="20"/>
                <w:lang w:eastAsia="en-US"/>
              </w:rPr>
            </w:pPr>
          </w:p>
        </w:tc>
      </w:tr>
      <w:tr w:rsidR="00C25C7D" w:rsidRPr="008B4DA8" w14:paraId="252FE56A" w14:textId="77777777">
        <w:tblPrEx>
          <w:tblCellMar>
            <w:top w:w="0" w:type="dxa"/>
            <w:bottom w:w="0" w:type="dxa"/>
          </w:tblCellMar>
        </w:tblPrEx>
        <w:tc>
          <w:tcPr>
            <w:tcW w:w="791" w:type="dxa"/>
          </w:tcPr>
          <w:p w14:paraId="1DD00F6B" w14:textId="77777777" w:rsidR="00C25C7D" w:rsidRPr="008B4DA8" w:rsidRDefault="00C25C7D" w:rsidP="00360FB0">
            <w:pPr>
              <w:jc w:val="both"/>
              <w:rPr>
                <w:sz w:val="20"/>
              </w:rPr>
            </w:pPr>
            <w:r w:rsidRPr="008B4DA8">
              <w:rPr>
                <w:sz w:val="20"/>
              </w:rPr>
              <w:t>23</w:t>
            </w:r>
          </w:p>
        </w:tc>
        <w:tc>
          <w:tcPr>
            <w:tcW w:w="2011" w:type="dxa"/>
          </w:tcPr>
          <w:p w14:paraId="51EC387D" w14:textId="77777777" w:rsidR="00C25C7D" w:rsidRPr="008B4DA8" w:rsidRDefault="00C25C7D" w:rsidP="00360FB0">
            <w:pPr>
              <w:jc w:val="both"/>
              <w:rPr>
                <w:sz w:val="20"/>
              </w:rPr>
            </w:pPr>
            <w:r w:rsidRPr="008B4DA8">
              <w:rPr>
                <w:sz w:val="20"/>
              </w:rPr>
              <w:t>Teaching 17</w:t>
            </w:r>
          </w:p>
        </w:tc>
        <w:tc>
          <w:tcPr>
            <w:tcW w:w="5845" w:type="dxa"/>
          </w:tcPr>
          <w:p w14:paraId="6E3FEB39" w14:textId="77777777" w:rsidR="00C25C7D" w:rsidRPr="008B4DA8" w:rsidRDefault="00C25C7D" w:rsidP="00360FB0">
            <w:pPr>
              <w:jc w:val="both"/>
              <w:rPr>
                <w:sz w:val="20"/>
                <w:lang w:eastAsia="en-US"/>
              </w:rPr>
            </w:pPr>
          </w:p>
        </w:tc>
      </w:tr>
      <w:tr w:rsidR="00C25C7D" w:rsidRPr="008B4DA8" w14:paraId="42C8DAFC" w14:textId="77777777">
        <w:tblPrEx>
          <w:tblCellMar>
            <w:top w:w="0" w:type="dxa"/>
            <w:bottom w:w="0" w:type="dxa"/>
          </w:tblCellMar>
        </w:tblPrEx>
        <w:tc>
          <w:tcPr>
            <w:tcW w:w="791" w:type="dxa"/>
          </w:tcPr>
          <w:p w14:paraId="3980E927" w14:textId="77777777" w:rsidR="00C25C7D" w:rsidRPr="008B4DA8" w:rsidRDefault="00C25C7D" w:rsidP="00360FB0">
            <w:pPr>
              <w:jc w:val="both"/>
              <w:rPr>
                <w:sz w:val="20"/>
              </w:rPr>
            </w:pPr>
            <w:r w:rsidRPr="008B4DA8">
              <w:rPr>
                <w:sz w:val="20"/>
              </w:rPr>
              <w:t>24</w:t>
            </w:r>
          </w:p>
        </w:tc>
        <w:tc>
          <w:tcPr>
            <w:tcW w:w="2011" w:type="dxa"/>
          </w:tcPr>
          <w:p w14:paraId="217D4840" w14:textId="77777777" w:rsidR="00C25C7D" w:rsidRPr="008B4DA8" w:rsidRDefault="00C25C7D" w:rsidP="00360FB0">
            <w:pPr>
              <w:jc w:val="both"/>
              <w:rPr>
                <w:sz w:val="20"/>
              </w:rPr>
            </w:pPr>
            <w:r w:rsidRPr="008B4DA8">
              <w:rPr>
                <w:sz w:val="20"/>
              </w:rPr>
              <w:t>Teaching 18</w:t>
            </w:r>
          </w:p>
        </w:tc>
        <w:tc>
          <w:tcPr>
            <w:tcW w:w="5845" w:type="dxa"/>
          </w:tcPr>
          <w:p w14:paraId="5E4972E0" w14:textId="77777777" w:rsidR="00C25C7D" w:rsidRPr="008B4DA8" w:rsidRDefault="00C25C7D" w:rsidP="00360FB0">
            <w:pPr>
              <w:jc w:val="both"/>
              <w:rPr>
                <w:sz w:val="20"/>
                <w:lang w:eastAsia="en-US"/>
              </w:rPr>
            </w:pPr>
          </w:p>
        </w:tc>
      </w:tr>
      <w:tr w:rsidR="00C25C7D" w:rsidRPr="008B4DA8" w14:paraId="5CD44903" w14:textId="77777777">
        <w:tblPrEx>
          <w:tblCellMar>
            <w:top w:w="0" w:type="dxa"/>
            <w:bottom w:w="0" w:type="dxa"/>
          </w:tblCellMar>
        </w:tblPrEx>
        <w:tc>
          <w:tcPr>
            <w:tcW w:w="791" w:type="dxa"/>
          </w:tcPr>
          <w:p w14:paraId="2E85C6B2" w14:textId="77777777" w:rsidR="00C25C7D" w:rsidRPr="008B4DA8" w:rsidRDefault="00C25C7D" w:rsidP="00360FB0">
            <w:pPr>
              <w:jc w:val="both"/>
              <w:rPr>
                <w:sz w:val="20"/>
              </w:rPr>
            </w:pPr>
            <w:r w:rsidRPr="008B4DA8">
              <w:rPr>
                <w:sz w:val="20"/>
              </w:rPr>
              <w:t>25</w:t>
            </w:r>
          </w:p>
        </w:tc>
        <w:tc>
          <w:tcPr>
            <w:tcW w:w="2011" w:type="dxa"/>
          </w:tcPr>
          <w:p w14:paraId="5D2469A3" w14:textId="77777777" w:rsidR="00C25C7D" w:rsidRPr="008B4DA8" w:rsidRDefault="00C25C7D" w:rsidP="00360FB0">
            <w:pPr>
              <w:jc w:val="both"/>
              <w:rPr>
                <w:sz w:val="20"/>
              </w:rPr>
            </w:pPr>
            <w:r w:rsidRPr="008B4DA8">
              <w:rPr>
                <w:sz w:val="20"/>
              </w:rPr>
              <w:t>Teaching 19</w:t>
            </w:r>
          </w:p>
        </w:tc>
        <w:tc>
          <w:tcPr>
            <w:tcW w:w="5845" w:type="dxa"/>
          </w:tcPr>
          <w:p w14:paraId="58F57D49" w14:textId="77777777" w:rsidR="00C25C7D" w:rsidRPr="008B4DA8" w:rsidRDefault="00C25C7D" w:rsidP="00360FB0">
            <w:pPr>
              <w:jc w:val="both"/>
              <w:rPr>
                <w:sz w:val="20"/>
                <w:lang w:eastAsia="en-US"/>
              </w:rPr>
            </w:pPr>
          </w:p>
        </w:tc>
      </w:tr>
      <w:tr w:rsidR="00C25C7D" w:rsidRPr="008B4DA8" w14:paraId="7F4F6285" w14:textId="77777777">
        <w:tblPrEx>
          <w:tblCellMar>
            <w:top w:w="0" w:type="dxa"/>
            <w:bottom w:w="0" w:type="dxa"/>
          </w:tblCellMar>
        </w:tblPrEx>
        <w:tc>
          <w:tcPr>
            <w:tcW w:w="791" w:type="dxa"/>
          </w:tcPr>
          <w:p w14:paraId="5701DCB8" w14:textId="77777777" w:rsidR="00C25C7D" w:rsidRPr="008B4DA8" w:rsidRDefault="00C25C7D" w:rsidP="00360FB0">
            <w:pPr>
              <w:jc w:val="both"/>
              <w:rPr>
                <w:sz w:val="20"/>
              </w:rPr>
            </w:pPr>
            <w:r w:rsidRPr="008B4DA8">
              <w:rPr>
                <w:sz w:val="20"/>
              </w:rPr>
              <w:t>26</w:t>
            </w:r>
          </w:p>
        </w:tc>
        <w:tc>
          <w:tcPr>
            <w:tcW w:w="2011" w:type="dxa"/>
          </w:tcPr>
          <w:p w14:paraId="7D7D5682" w14:textId="77777777" w:rsidR="00C25C7D" w:rsidRPr="008B4DA8" w:rsidRDefault="00C25C7D" w:rsidP="00360FB0">
            <w:pPr>
              <w:jc w:val="both"/>
              <w:rPr>
                <w:sz w:val="20"/>
              </w:rPr>
            </w:pPr>
            <w:r w:rsidRPr="008B4DA8">
              <w:rPr>
                <w:sz w:val="20"/>
              </w:rPr>
              <w:t>Teaching 20</w:t>
            </w:r>
          </w:p>
        </w:tc>
        <w:tc>
          <w:tcPr>
            <w:tcW w:w="5845" w:type="dxa"/>
          </w:tcPr>
          <w:p w14:paraId="4C6CA6FF" w14:textId="77777777" w:rsidR="00C25C7D" w:rsidRPr="008B4DA8" w:rsidRDefault="00C25C7D" w:rsidP="00360FB0">
            <w:pPr>
              <w:jc w:val="both"/>
              <w:rPr>
                <w:sz w:val="20"/>
                <w:lang w:eastAsia="en-US"/>
              </w:rPr>
            </w:pPr>
          </w:p>
        </w:tc>
      </w:tr>
      <w:tr w:rsidR="00C25C7D" w:rsidRPr="008B4DA8" w14:paraId="6150F439" w14:textId="77777777">
        <w:tblPrEx>
          <w:tblCellMar>
            <w:top w:w="0" w:type="dxa"/>
            <w:bottom w:w="0" w:type="dxa"/>
          </w:tblCellMar>
        </w:tblPrEx>
        <w:tc>
          <w:tcPr>
            <w:tcW w:w="791" w:type="dxa"/>
          </w:tcPr>
          <w:p w14:paraId="23837903" w14:textId="77777777" w:rsidR="00C25C7D" w:rsidRPr="008B4DA8" w:rsidRDefault="00C25C7D" w:rsidP="00360FB0">
            <w:pPr>
              <w:jc w:val="both"/>
              <w:rPr>
                <w:sz w:val="20"/>
              </w:rPr>
            </w:pPr>
            <w:r w:rsidRPr="008B4DA8">
              <w:rPr>
                <w:sz w:val="20"/>
              </w:rPr>
              <w:t>27</w:t>
            </w:r>
          </w:p>
        </w:tc>
        <w:tc>
          <w:tcPr>
            <w:tcW w:w="2011" w:type="dxa"/>
          </w:tcPr>
          <w:p w14:paraId="05C622C3" w14:textId="77777777" w:rsidR="00C25C7D" w:rsidRPr="008B4DA8" w:rsidRDefault="00C25C7D" w:rsidP="00360FB0">
            <w:pPr>
              <w:jc w:val="both"/>
              <w:rPr>
                <w:sz w:val="20"/>
              </w:rPr>
            </w:pPr>
            <w:r w:rsidRPr="008B4DA8">
              <w:rPr>
                <w:sz w:val="20"/>
              </w:rPr>
              <w:t>Teaching 21</w:t>
            </w:r>
          </w:p>
        </w:tc>
        <w:tc>
          <w:tcPr>
            <w:tcW w:w="5845" w:type="dxa"/>
          </w:tcPr>
          <w:p w14:paraId="1D304EEF" w14:textId="77777777" w:rsidR="00C25C7D" w:rsidRPr="008B4DA8" w:rsidRDefault="00C25C7D" w:rsidP="00360FB0">
            <w:pPr>
              <w:jc w:val="both"/>
              <w:rPr>
                <w:sz w:val="20"/>
                <w:lang w:eastAsia="en-US"/>
              </w:rPr>
            </w:pPr>
            <w:r w:rsidRPr="008B4DA8">
              <w:rPr>
                <w:sz w:val="20"/>
              </w:rPr>
              <w:t>Perspectives on Learning and Development – Formative test</w:t>
            </w:r>
          </w:p>
        </w:tc>
      </w:tr>
      <w:tr w:rsidR="00C25C7D" w:rsidRPr="008B4DA8" w14:paraId="38B1781B" w14:textId="77777777">
        <w:tblPrEx>
          <w:tblCellMar>
            <w:top w:w="0" w:type="dxa"/>
            <w:bottom w:w="0" w:type="dxa"/>
          </w:tblCellMar>
        </w:tblPrEx>
        <w:tc>
          <w:tcPr>
            <w:tcW w:w="791" w:type="dxa"/>
          </w:tcPr>
          <w:p w14:paraId="79B620E5" w14:textId="77777777" w:rsidR="00C25C7D" w:rsidRPr="008B4DA8" w:rsidRDefault="00C25C7D" w:rsidP="00360FB0">
            <w:pPr>
              <w:jc w:val="both"/>
              <w:rPr>
                <w:sz w:val="20"/>
              </w:rPr>
            </w:pPr>
            <w:r w:rsidRPr="008B4DA8">
              <w:rPr>
                <w:sz w:val="20"/>
              </w:rPr>
              <w:t>28</w:t>
            </w:r>
          </w:p>
        </w:tc>
        <w:tc>
          <w:tcPr>
            <w:tcW w:w="2011" w:type="dxa"/>
          </w:tcPr>
          <w:p w14:paraId="5B18EA80" w14:textId="77777777" w:rsidR="00C25C7D" w:rsidRPr="008B4DA8" w:rsidRDefault="00C25C7D" w:rsidP="00360FB0">
            <w:pPr>
              <w:jc w:val="both"/>
              <w:rPr>
                <w:sz w:val="20"/>
              </w:rPr>
            </w:pPr>
            <w:r w:rsidRPr="008B4DA8">
              <w:rPr>
                <w:sz w:val="20"/>
              </w:rPr>
              <w:t>Teaching 22</w:t>
            </w:r>
          </w:p>
        </w:tc>
        <w:tc>
          <w:tcPr>
            <w:tcW w:w="5845" w:type="dxa"/>
          </w:tcPr>
          <w:p w14:paraId="65E90D56" w14:textId="77777777" w:rsidR="00C25C7D" w:rsidRPr="008B4DA8" w:rsidRDefault="00C25C7D" w:rsidP="00360FB0">
            <w:pPr>
              <w:jc w:val="both"/>
              <w:rPr>
                <w:sz w:val="20"/>
                <w:lang w:eastAsia="en-US"/>
              </w:rPr>
            </w:pPr>
            <w:r w:rsidRPr="008B4DA8">
              <w:rPr>
                <w:sz w:val="20"/>
              </w:rPr>
              <w:t>Self</w:t>
            </w:r>
            <w:r w:rsidR="00533322">
              <w:rPr>
                <w:sz w:val="20"/>
              </w:rPr>
              <w:t>,</w:t>
            </w:r>
            <w:r w:rsidRPr="008B4DA8">
              <w:rPr>
                <w:sz w:val="20"/>
              </w:rPr>
              <w:t xml:space="preserve"> Society and Welfare Module – Formative assignment</w:t>
            </w:r>
          </w:p>
        </w:tc>
      </w:tr>
      <w:tr w:rsidR="00C25C7D" w:rsidRPr="008B4DA8" w14:paraId="47CEDFCE" w14:textId="77777777">
        <w:tblPrEx>
          <w:tblCellMar>
            <w:top w:w="0" w:type="dxa"/>
            <w:bottom w:w="0" w:type="dxa"/>
          </w:tblCellMar>
        </w:tblPrEx>
        <w:tc>
          <w:tcPr>
            <w:tcW w:w="791" w:type="dxa"/>
          </w:tcPr>
          <w:p w14:paraId="0B5971D0" w14:textId="77777777" w:rsidR="00C25C7D" w:rsidRPr="008B4DA8" w:rsidRDefault="00C25C7D" w:rsidP="00360FB0">
            <w:pPr>
              <w:jc w:val="both"/>
              <w:rPr>
                <w:sz w:val="20"/>
              </w:rPr>
            </w:pPr>
            <w:r w:rsidRPr="008B4DA8">
              <w:rPr>
                <w:sz w:val="20"/>
              </w:rPr>
              <w:t>29</w:t>
            </w:r>
          </w:p>
        </w:tc>
        <w:tc>
          <w:tcPr>
            <w:tcW w:w="2011" w:type="dxa"/>
          </w:tcPr>
          <w:p w14:paraId="016FEF6A" w14:textId="77777777" w:rsidR="00C25C7D" w:rsidRPr="008B4DA8" w:rsidRDefault="00C25C7D" w:rsidP="00360FB0">
            <w:pPr>
              <w:jc w:val="both"/>
              <w:rPr>
                <w:sz w:val="20"/>
              </w:rPr>
            </w:pPr>
            <w:r w:rsidRPr="008B4DA8">
              <w:rPr>
                <w:sz w:val="20"/>
              </w:rPr>
              <w:t>Easter</w:t>
            </w:r>
          </w:p>
        </w:tc>
        <w:tc>
          <w:tcPr>
            <w:tcW w:w="5845" w:type="dxa"/>
          </w:tcPr>
          <w:p w14:paraId="3E40677C" w14:textId="77777777" w:rsidR="00C25C7D" w:rsidRPr="008B4DA8" w:rsidRDefault="00C25C7D" w:rsidP="00360FB0">
            <w:pPr>
              <w:jc w:val="both"/>
              <w:rPr>
                <w:sz w:val="20"/>
                <w:lang w:eastAsia="en-US"/>
              </w:rPr>
            </w:pPr>
          </w:p>
        </w:tc>
      </w:tr>
      <w:tr w:rsidR="00C25C7D" w:rsidRPr="008B4DA8" w14:paraId="73FCEB31" w14:textId="77777777">
        <w:tblPrEx>
          <w:tblCellMar>
            <w:top w:w="0" w:type="dxa"/>
            <w:bottom w:w="0" w:type="dxa"/>
          </w:tblCellMar>
        </w:tblPrEx>
        <w:tc>
          <w:tcPr>
            <w:tcW w:w="791" w:type="dxa"/>
          </w:tcPr>
          <w:p w14:paraId="666CCC62" w14:textId="77777777" w:rsidR="00C25C7D" w:rsidRPr="008B4DA8" w:rsidRDefault="00C25C7D" w:rsidP="00360FB0">
            <w:pPr>
              <w:jc w:val="both"/>
              <w:rPr>
                <w:sz w:val="20"/>
              </w:rPr>
            </w:pPr>
            <w:r w:rsidRPr="008B4DA8">
              <w:rPr>
                <w:sz w:val="20"/>
              </w:rPr>
              <w:t>30</w:t>
            </w:r>
          </w:p>
        </w:tc>
        <w:tc>
          <w:tcPr>
            <w:tcW w:w="2011" w:type="dxa"/>
          </w:tcPr>
          <w:p w14:paraId="76E9B0AD" w14:textId="77777777" w:rsidR="00C25C7D" w:rsidRPr="008B4DA8" w:rsidRDefault="00C25C7D" w:rsidP="00360FB0">
            <w:pPr>
              <w:jc w:val="both"/>
              <w:rPr>
                <w:sz w:val="20"/>
              </w:rPr>
            </w:pPr>
            <w:r w:rsidRPr="008B4DA8">
              <w:rPr>
                <w:sz w:val="20"/>
              </w:rPr>
              <w:t>Easter</w:t>
            </w:r>
          </w:p>
        </w:tc>
        <w:tc>
          <w:tcPr>
            <w:tcW w:w="5845" w:type="dxa"/>
          </w:tcPr>
          <w:p w14:paraId="7E2BDE52" w14:textId="77777777" w:rsidR="00C25C7D" w:rsidRPr="008B4DA8" w:rsidRDefault="00C25C7D" w:rsidP="00360FB0">
            <w:pPr>
              <w:jc w:val="both"/>
              <w:rPr>
                <w:sz w:val="20"/>
                <w:lang w:eastAsia="en-US"/>
              </w:rPr>
            </w:pPr>
          </w:p>
        </w:tc>
      </w:tr>
      <w:tr w:rsidR="00C25C7D" w:rsidRPr="008B4DA8" w14:paraId="2E80518B" w14:textId="77777777">
        <w:tblPrEx>
          <w:tblCellMar>
            <w:top w:w="0" w:type="dxa"/>
            <w:bottom w:w="0" w:type="dxa"/>
          </w:tblCellMar>
        </w:tblPrEx>
        <w:tc>
          <w:tcPr>
            <w:tcW w:w="791" w:type="dxa"/>
          </w:tcPr>
          <w:p w14:paraId="48D7BD4C" w14:textId="77777777" w:rsidR="00C25C7D" w:rsidRPr="008B4DA8" w:rsidRDefault="00C25C7D" w:rsidP="00360FB0">
            <w:pPr>
              <w:jc w:val="both"/>
              <w:rPr>
                <w:sz w:val="20"/>
              </w:rPr>
            </w:pPr>
            <w:r w:rsidRPr="008B4DA8">
              <w:rPr>
                <w:sz w:val="20"/>
              </w:rPr>
              <w:t>31</w:t>
            </w:r>
          </w:p>
        </w:tc>
        <w:tc>
          <w:tcPr>
            <w:tcW w:w="2011" w:type="dxa"/>
          </w:tcPr>
          <w:p w14:paraId="1785E840" w14:textId="77777777" w:rsidR="00C25C7D" w:rsidRPr="008B4DA8" w:rsidRDefault="00C25C7D" w:rsidP="00360FB0">
            <w:pPr>
              <w:jc w:val="both"/>
              <w:rPr>
                <w:sz w:val="20"/>
              </w:rPr>
            </w:pPr>
            <w:r w:rsidRPr="008B4DA8">
              <w:rPr>
                <w:sz w:val="20"/>
              </w:rPr>
              <w:t>Easter</w:t>
            </w:r>
          </w:p>
        </w:tc>
        <w:tc>
          <w:tcPr>
            <w:tcW w:w="5845" w:type="dxa"/>
          </w:tcPr>
          <w:p w14:paraId="072B9859" w14:textId="77777777" w:rsidR="00C25C7D" w:rsidRPr="008B4DA8" w:rsidRDefault="00C25C7D" w:rsidP="00360FB0">
            <w:pPr>
              <w:jc w:val="both"/>
              <w:rPr>
                <w:sz w:val="20"/>
                <w:lang w:eastAsia="en-US"/>
              </w:rPr>
            </w:pPr>
          </w:p>
        </w:tc>
      </w:tr>
      <w:tr w:rsidR="00C25C7D" w:rsidRPr="008B4DA8" w14:paraId="2AD4FD2F" w14:textId="77777777">
        <w:tblPrEx>
          <w:tblCellMar>
            <w:top w:w="0" w:type="dxa"/>
            <w:bottom w:w="0" w:type="dxa"/>
          </w:tblCellMar>
        </w:tblPrEx>
        <w:tc>
          <w:tcPr>
            <w:tcW w:w="791" w:type="dxa"/>
          </w:tcPr>
          <w:p w14:paraId="0BC518B7" w14:textId="77777777" w:rsidR="00C25C7D" w:rsidRPr="008B4DA8" w:rsidRDefault="00C25C7D" w:rsidP="00360FB0">
            <w:pPr>
              <w:jc w:val="both"/>
              <w:rPr>
                <w:sz w:val="20"/>
              </w:rPr>
            </w:pPr>
            <w:r w:rsidRPr="008B4DA8">
              <w:rPr>
                <w:sz w:val="20"/>
              </w:rPr>
              <w:t>32</w:t>
            </w:r>
          </w:p>
        </w:tc>
        <w:tc>
          <w:tcPr>
            <w:tcW w:w="2011" w:type="dxa"/>
          </w:tcPr>
          <w:p w14:paraId="2351E871" w14:textId="77777777" w:rsidR="00C25C7D" w:rsidRPr="008B4DA8" w:rsidRDefault="00C25C7D" w:rsidP="00360FB0">
            <w:pPr>
              <w:jc w:val="both"/>
              <w:rPr>
                <w:sz w:val="20"/>
              </w:rPr>
            </w:pPr>
            <w:r w:rsidRPr="008B4DA8">
              <w:rPr>
                <w:sz w:val="20"/>
              </w:rPr>
              <w:t>Teaching 23</w:t>
            </w:r>
          </w:p>
        </w:tc>
        <w:tc>
          <w:tcPr>
            <w:tcW w:w="5845" w:type="dxa"/>
          </w:tcPr>
          <w:p w14:paraId="184F073A" w14:textId="77777777" w:rsidR="00C25C7D" w:rsidRPr="008B4DA8" w:rsidRDefault="00C25C7D" w:rsidP="00360FB0">
            <w:pPr>
              <w:jc w:val="both"/>
              <w:rPr>
                <w:sz w:val="20"/>
                <w:lang w:eastAsia="en-US"/>
              </w:rPr>
            </w:pPr>
            <w:r w:rsidRPr="008B4DA8">
              <w:rPr>
                <w:sz w:val="20"/>
              </w:rPr>
              <w:t>Foundations for Practice (30 credits) DFU1330 - Formative 2500 word project proposal</w:t>
            </w:r>
          </w:p>
        </w:tc>
      </w:tr>
      <w:tr w:rsidR="00C25C7D" w:rsidRPr="008B4DA8" w14:paraId="52665127" w14:textId="77777777">
        <w:tblPrEx>
          <w:tblCellMar>
            <w:top w:w="0" w:type="dxa"/>
            <w:bottom w:w="0" w:type="dxa"/>
          </w:tblCellMar>
        </w:tblPrEx>
        <w:tc>
          <w:tcPr>
            <w:tcW w:w="791" w:type="dxa"/>
          </w:tcPr>
          <w:p w14:paraId="4801C7FE" w14:textId="77777777" w:rsidR="00C25C7D" w:rsidRPr="008B4DA8" w:rsidRDefault="00C25C7D" w:rsidP="00360FB0">
            <w:pPr>
              <w:jc w:val="both"/>
              <w:rPr>
                <w:sz w:val="20"/>
              </w:rPr>
            </w:pPr>
            <w:r w:rsidRPr="008B4DA8">
              <w:rPr>
                <w:sz w:val="20"/>
              </w:rPr>
              <w:t>33</w:t>
            </w:r>
          </w:p>
        </w:tc>
        <w:tc>
          <w:tcPr>
            <w:tcW w:w="2011" w:type="dxa"/>
          </w:tcPr>
          <w:p w14:paraId="076245E6" w14:textId="77777777" w:rsidR="00C25C7D" w:rsidRPr="008B4DA8" w:rsidRDefault="00C25C7D" w:rsidP="00360FB0">
            <w:pPr>
              <w:jc w:val="both"/>
              <w:rPr>
                <w:sz w:val="20"/>
              </w:rPr>
            </w:pPr>
            <w:r w:rsidRPr="008B4DA8">
              <w:rPr>
                <w:sz w:val="20"/>
              </w:rPr>
              <w:t>Teaching 24</w:t>
            </w:r>
          </w:p>
        </w:tc>
        <w:tc>
          <w:tcPr>
            <w:tcW w:w="5845" w:type="dxa"/>
          </w:tcPr>
          <w:p w14:paraId="60204E3D" w14:textId="77777777" w:rsidR="00C25C7D" w:rsidRPr="008B4DA8" w:rsidRDefault="00C25C7D" w:rsidP="00360FB0">
            <w:pPr>
              <w:jc w:val="both"/>
              <w:rPr>
                <w:sz w:val="20"/>
                <w:lang w:eastAsia="en-US"/>
              </w:rPr>
            </w:pPr>
            <w:r w:rsidRPr="008B4DA8">
              <w:rPr>
                <w:sz w:val="20"/>
              </w:rPr>
              <w:t>Perspectives on Learning and Development – Summative Test</w:t>
            </w:r>
          </w:p>
        </w:tc>
      </w:tr>
      <w:tr w:rsidR="00C25C7D" w:rsidRPr="008B4DA8" w14:paraId="15CAEAAE" w14:textId="77777777">
        <w:tblPrEx>
          <w:tblCellMar>
            <w:top w:w="0" w:type="dxa"/>
            <w:bottom w:w="0" w:type="dxa"/>
          </w:tblCellMar>
        </w:tblPrEx>
        <w:tc>
          <w:tcPr>
            <w:tcW w:w="791" w:type="dxa"/>
          </w:tcPr>
          <w:p w14:paraId="3A441A96" w14:textId="77777777" w:rsidR="00C25C7D" w:rsidRPr="008B4DA8" w:rsidRDefault="00C25C7D" w:rsidP="00360FB0">
            <w:pPr>
              <w:jc w:val="both"/>
              <w:rPr>
                <w:sz w:val="20"/>
              </w:rPr>
            </w:pPr>
            <w:r w:rsidRPr="008B4DA8">
              <w:rPr>
                <w:sz w:val="20"/>
              </w:rPr>
              <w:t>34</w:t>
            </w:r>
          </w:p>
        </w:tc>
        <w:tc>
          <w:tcPr>
            <w:tcW w:w="2011" w:type="dxa"/>
          </w:tcPr>
          <w:p w14:paraId="61BCC907" w14:textId="77777777" w:rsidR="00C25C7D" w:rsidRPr="008B4DA8" w:rsidRDefault="00C25C7D" w:rsidP="00360FB0">
            <w:pPr>
              <w:jc w:val="both"/>
              <w:rPr>
                <w:sz w:val="20"/>
              </w:rPr>
            </w:pPr>
          </w:p>
        </w:tc>
        <w:tc>
          <w:tcPr>
            <w:tcW w:w="5845" w:type="dxa"/>
          </w:tcPr>
          <w:p w14:paraId="2278F7E6" w14:textId="77777777" w:rsidR="00C25C7D" w:rsidRPr="008B4DA8" w:rsidRDefault="00C25C7D" w:rsidP="00360FB0">
            <w:pPr>
              <w:jc w:val="both"/>
              <w:rPr>
                <w:sz w:val="20"/>
                <w:lang w:eastAsia="en-US"/>
              </w:rPr>
            </w:pPr>
          </w:p>
        </w:tc>
      </w:tr>
      <w:tr w:rsidR="00C25C7D" w:rsidRPr="008B4DA8" w14:paraId="2D7B7C1C" w14:textId="77777777">
        <w:tblPrEx>
          <w:tblCellMar>
            <w:top w:w="0" w:type="dxa"/>
            <w:bottom w:w="0" w:type="dxa"/>
          </w:tblCellMar>
        </w:tblPrEx>
        <w:tc>
          <w:tcPr>
            <w:tcW w:w="791" w:type="dxa"/>
          </w:tcPr>
          <w:p w14:paraId="2499CA90" w14:textId="77777777" w:rsidR="00C25C7D" w:rsidRPr="008B4DA8" w:rsidRDefault="00C25C7D" w:rsidP="00360FB0">
            <w:pPr>
              <w:jc w:val="both"/>
              <w:rPr>
                <w:sz w:val="20"/>
              </w:rPr>
            </w:pPr>
            <w:r w:rsidRPr="008B4DA8">
              <w:rPr>
                <w:sz w:val="20"/>
              </w:rPr>
              <w:t>35</w:t>
            </w:r>
          </w:p>
        </w:tc>
        <w:tc>
          <w:tcPr>
            <w:tcW w:w="2011" w:type="dxa"/>
          </w:tcPr>
          <w:p w14:paraId="3AFCB660" w14:textId="77777777" w:rsidR="00C25C7D" w:rsidRPr="008B4DA8" w:rsidRDefault="00C25C7D" w:rsidP="00360FB0">
            <w:pPr>
              <w:jc w:val="both"/>
              <w:rPr>
                <w:sz w:val="20"/>
              </w:rPr>
            </w:pPr>
          </w:p>
        </w:tc>
        <w:tc>
          <w:tcPr>
            <w:tcW w:w="5845" w:type="dxa"/>
          </w:tcPr>
          <w:p w14:paraId="0BED6655" w14:textId="77777777" w:rsidR="00C25C7D" w:rsidRPr="008B4DA8" w:rsidRDefault="00C25C7D" w:rsidP="00360FB0">
            <w:pPr>
              <w:jc w:val="both"/>
              <w:rPr>
                <w:sz w:val="20"/>
              </w:rPr>
            </w:pPr>
            <w:r w:rsidRPr="008B4DA8">
              <w:rPr>
                <w:sz w:val="20"/>
              </w:rPr>
              <w:t>Self</w:t>
            </w:r>
            <w:r w:rsidR="00533322">
              <w:rPr>
                <w:sz w:val="20"/>
              </w:rPr>
              <w:t>,</w:t>
            </w:r>
            <w:r w:rsidRPr="008B4DA8">
              <w:rPr>
                <w:sz w:val="20"/>
              </w:rPr>
              <w:t xml:space="preserve"> Society and Welfare Module – Summative Assignment</w:t>
            </w:r>
          </w:p>
        </w:tc>
      </w:tr>
      <w:tr w:rsidR="00C25C7D" w:rsidRPr="008B4DA8" w14:paraId="2C06B6CB" w14:textId="77777777">
        <w:tblPrEx>
          <w:tblCellMar>
            <w:top w:w="0" w:type="dxa"/>
            <w:bottom w:w="0" w:type="dxa"/>
          </w:tblCellMar>
        </w:tblPrEx>
        <w:tc>
          <w:tcPr>
            <w:tcW w:w="791" w:type="dxa"/>
          </w:tcPr>
          <w:p w14:paraId="7554FE9B" w14:textId="77777777" w:rsidR="00C25C7D" w:rsidRPr="008B4DA8" w:rsidRDefault="00C25C7D" w:rsidP="00360FB0">
            <w:pPr>
              <w:jc w:val="both"/>
              <w:rPr>
                <w:sz w:val="20"/>
              </w:rPr>
            </w:pPr>
            <w:r w:rsidRPr="008B4DA8">
              <w:rPr>
                <w:sz w:val="20"/>
              </w:rPr>
              <w:t>36</w:t>
            </w:r>
          </w:p>
        </w:tc>
        <w:tc>
          <w:tcPr>
            <w:tcW w:w="2011" w:type="dxa"/>
          </w:tcPr>
          <w:p w14:paraId="58B8889A" w14:textId="77777777" w:rsidR="00C25C7D" w:rsidRPr="008B4DA8" w:rsidRDefault="00C25C7D" w:rsidP="00360FB0">
            <w:pPr>
              <w:jc w:val="both"/>
              <w:rPr>
                <w:sz w:val="20"/>
              </w:rPr>
            </w:pPr>
          </w:p>
        </w:tc>
        <w:tc>
          <w:tcPr>
            <w:tcW w:w="5845" w:type="dxa"/>
          </w:tcPr>
          <w:p w14:paraId="3A5D655F" w14:textId="77777777" w:rsidR="00C25C7D" w:rsidRPr="008B4DA8" w:rsidRDefault="00C25C7D" w:rsidP="00360FB0">
            <w:pPr>
              <w:pStyle w:val="Footer"/>
              <w:tabs>
                <w:tab w:val="clear" w:pos="4320"/>
                <w:tab w:val="clear" w:pos="8640"/>
              </w:tabs>
              <w:jc w:val="both"/>
              <w:rPr>
                <w:sz w:val="20"/>
              </w:rPr>
            </w:pPr>
          </w:p>
        </w:tc>
      </w:tr>
      <w:tr w:rsidR="00C25C7D" w:rsidRPr="008B4DA8" w14:paraId="1B7858A1" w14:textId="77777777">
        <w:tblPrEx>
          <w:tblCellMar>
            <w:top w:w="0" w:type="dxa"/>
            <w:bottom w:w="0" w:type="dxa"/>
          </w:tblCellMar>
        </w:tblPrEx>
        <w:tc>
          <w:tcPr>
            <w:tcW w:w="791" w:type="dxa"/>
          </w:tcPr>
          <w:p w14:paraId="189F55F3" w14:textId="77777777" w:rsidR="00C25C7D" w:rsidRPr="008B4DA8" w:rsidRDefault="00C25C7D" w:rsidP="00360FB0">
            <w:pPr>
              <w:jc w:val="both"/>
              <w:rPr>
                <w:sz w:val="20"/>
              </w:rPr>
            </w:pPr>
            <w:r w:rsidRPr="008B4DA8">
              <w:rPr>
                <w:sz w:val="20"/>
              </w:rPr>
              <w:t>37</w:t>
            </w:r>
          </w:p>
        </w:tc>
        <w:tc>
          <w:tcPr>
            <w:tcW w:w="2011" w:type="dxa"/>
          </w:tcPr>
          <w:p w14:paraId="33B11AB4" w14:textId="77777777" w:rsidR="00C25C7D" w:rsidRPr="008B4DA8" w:rsidRDefault="00C25C7D" w:rsidP="00360FB0">
            <w:pPr>
              <w:jc w:val="both"/>
              <w:rPr>
                <w:sz w:val="20"/>
              </w:rPr>
            </w:pPr>
          </w:p>
        </w:tc>
        <w:tc>
          <w:tcPr>
            <w:tcW w:w="5845" w:type="dxa"/>
          </w:tcPr>
          <w:p w14:paraId="2C5A338C" w14:textId="77777777" w:rsidR="00C25C7D" w:rsidRPr="008B4DA8" w:rsidRDefault="00C25C7D" w:rsidP="00360FB0">
            <w:pPr>
              <w:jc w:val="both"/>
              <w:rPr>
                <w:sz w:val="20"/>
              </w:rPr>
            </w:pPr>
          </w:p>
        </w:tc>
      </w:tr>
      <w:tr w:rsidR="00C25C7D" w:rsidRPr="008B4DA8" w14:paraId="0299B2B6" w14:textId="77777777">
        <w:tblPrEx>
          <w:tblCellMar>
            <w:top w:w="0" w:type="dxa"/>
            <w:bottom w:w="0" w:type="dxa"/>
          </w:tblCellMar>
        </w:tblPrEx>
        <w:tc>
          <w:tcPr>
            <w:tcW w:w="791" w:type="dxa"/>
          </w:tcPr>
          <w:p w14:paraId="72ECD900" w14:textId="77777777" w:rsidR="00C25C7D" w:rsidRPr="008B4DA8" w:rsidRDefault="00C25C7D" w:rsidP="00360FB0">
            <w:pPr>
              <w:jc w:val="both"/>
              <w:rPr>
                <w:sz w:val="20"/>
              </w:rPr>
            </w:pPr>
            <w:r w:rsidRPr="008B4DA8">
              <w:rPr>
                <w:sz w:val="20"/>
              </w:rPr>
              <w:t>38</w:t>
            </w:r>
          </w:p>
        </w:tc>
        <w:tc>
          <w:tcPr>
            <w:tcW w:w="2011" w:type="dxa"/>
          </w:tcPr>
          <w:p w14:paraId="034DBDE7" w14:textId="77777777" w:rsidR="00C25C7D" w:rsidRPr="008B4DA8" w:rsidRDefault="00C25C7D" w:rsidP="00360FB0">
            <w:pPr>
              <w:jc w:val="both"/>
              <w:rPr>
                <w:sz w:val="20"/>
              </w:rPr>
            </w:pPr>
          </w:p>
        </w:tc>
        <w:tc>
          <w:tcPr>
            <w:tcW w:w="5845" w:type="dxa"/>
          </w:tcPr>
          <w:p w14:paraId="587B05C8" w14:textId="77777777" w:rsidR="00C25C7D" w:rsidRPr="008B4DA8" w:rsidRDefault="00C25C7D" w:rsidP="00360FB0">
            <w:pPr>
              <w:pStyle w:val="Footer"/>
              <w:jc w:val="both"/>
              <w:rPr>
                <w:sz w:val="20"/>
              </w:rPr>
            </w:pPr>
            <w:r w:rsidRPr="008B4DA8">
              <w:rPr>
                <w:sz w:val="20"/>
              </w:rPr>
              <w:t>Foundations for Practice (30 credits) DFU1330 2500 word project proposal</w:t>
            </w:r>
          </w:p>
        </w:tc>
      </w:tr>
      <w:tr w:rsidR="00C25C7D" w:rsidRPr="008B4DA8" w14:paraId="616C50D5" w14:textId="77777777">
        <w:tblPrEx>
          <w:tblCellMar>
            <w:top w:w="0" w:type="dxa"/>
            <w:bottom w:w="0" w:type="dxa"/>
          </w:tblCellMar>
        </w:tblPrEx>
        <w:tc>
          <w:tcPr>
            <w:tcW w:w="791" w:type="dxa"/>
          </w:tcPr>
          <w:p w14:paraId="5D69AD8F" w14:textId="77777777" w:rsidR="00C25C7D" w:rsidRPr="008B4DA8" w:rsidRDefault="00C25C7D" w:rsidP="00360FB0">
            <w:pPr>
              <w:jc w:val="both"/>
              <w:rPr>
                <w:sz w:val="20"/>
              </w:rPr>
            </w:pPr>
            <w:r w:rsidRPr="008B4DA8">
              <w:rPr>
                <w:sz w:val="20"/>
              </w:rPr>
              <w:t>39</w:t>
            </w:r>
          </w:p>
        </w:tc>
        <w:tc>
          <w:tcPr>
            <w:tcW w:w="2011" w:type="dxa"/>
          </w:tcPr>
          <w:p w14:paraId="3A341EB1" w14:textId="77777777" w:rsidR="00C25C7D" w:rsidRPr="008B4DA8" w:rsidRDefault="00C25C7D" w:rsidP="00360FB0">
            <w:pPr>
              <w:jc w:val="both"/>
              <w:rPr>
                <w:sz w:val="20"/>
              </w:rPr>
            </w:pPr>
          </w:p>
        </w:tc>
        <w:tc>
          <w:tcPr>
            <w:tcW w:w="5845" w:type="dxa"/>
          </w:tcPr>
          <w:p w14:paraId="7C8A51AD" w14:textId="77777777" w:rsidR="00C25C7D" w:rsidRPr="008B4DA8" w:rsidRDefault="00C25C7D" w:rsidP="00360FB0">
            <w:pPr>
              <w:jc w:val="both"/>
              <w:rPr>
                <w:sz w:val="20"/>
              </w:rPr>
            </w:pPr>
          </w:p>
        </w:tc>
      </w:tr>
      <w:tr w:rsidR="00C25C7D" w:rsidRPr="008B4DA8" w14:paraId="12DD93ED" w14:textId="77777777">
        <w:tblPrEx>
          <w:tblCellMar>
            <w:top w:w="0" w:type="dxa"/>
            <w:bottom w:w="0" w:type="dxa"/>
          </w:tblCellMar>
        </w:tblPrEx>
        <w:tc>
          <w:tcPr>
            <w:tcW w:w="791" w:type="dxa"/>
          </w:tcPr>
          <w:p w14:paraId="1365E64E" w14:textId="77777777" w:rsidR="00C25C7D" w:rsidRPr="008B4DA8" w:rsidRDefault="00C25C7D" w:rsidP="00360FB0">
            <w:pPr>
              <w:jc w:val="both"/>
              <w:rPr>
                <w:sz w:val="20"/>
              </w:rPr>
            </w:pPr>
            <w:r w:rsidRPr="008B4DA8">
              <w:rPr>
                <w:sz w:val="20"/>
              </w:rPr>
              <w:t>40</w:t>
            </w:r>
          </w:p>
        </w:tc>
        <w:tc>
          <w:tcPr>
            <w:tcW w:w="2011" w:type="dxa"/>
          </w:tcPr>
          <w:p w14:paraId="4740F987" w14:textId="77777777" w:rsidR="00C25C7D" w:rsidRPr="008B4DA8" w:rsidRDefault="00C25C7D" w:rsidP="00360FB0">
            <w:pPr>
              <w:jc w:val="both"/>
              <w:rPr>
                <w:sz w:val="20"/>
              </w:rPr>
            </w:pPr>
          </w:p>
        </w:tc>
        <w:tc>
          <w:tcPr>
            <w:tcW w:w="5845" w:type="dxa"/>
          </w:tcPr>
          <w:p w14:paraId="22B19CEA" w14:textId="77777777" w:rsidR="00C25C7D" w:rsidRPr="008B4DA8" w:rsidRDefault="00C25C7D" w:rsidP="00360FB0">
            <w:pPr>
              <w:jc w:val="both"/>
              <w:rPr>
                <w:sz w:val="20"/>
              </w:rPr>
            </w:pPr>
          </w:p>
        </w:tc>
      </w:tr>
      <w:tr w:rsidR="00C25C7D" w:rsidRPr="008B4DA8" w14:paraId="4C0CF577" w14:textId="77777777">
        <w:tblPrEx>
          <w:tblCellMar>
            <w:top w:w="0" w:type="dxa"/>
            <w:bottom w:w="0" w:type="dxa"/>
          </w:tblCellMar>
        </w:tblPrEx>
        <w:tc>
          <w:tcPr>
            <w:tcW w:w="791" w:type="dxa"/>
          </w:tcPr>
          <w:p w14:paraId="5980B98C" w14:textId="77777777" w:rsidR="00C25C7D" w:rsidRPr="008B4DA8" w:rsidRDefault="00C25C7D" w:rsidP="00360FB0">
            <w:pPr>
              <w:jc w:val="both"/>
              <w:rPr>
                <w:sz w:val="20"/>
              </w:rPr>
            </w:pPr>
            <w:r w:rsidRPr="008B4DA8">
              <w:rPr>
                <w:sz w:val="20"/>
              </w:rPr>
              <w:t>41</w:t>
            </w:r>
          </w:p>
        </w:tc>
        <w:tc>
          <w:tcPr>
            <w:tcW w:w="2011" w:type="dxa"/>
          </w:tcPr>
          <w:p w14:paraId="3A5B1084" w14:textId="77777777" w:rsidR="00C25C7D" w:rsidRPr="008B4DA8" w:rsidRDefault="00C25C7D" w:rsidP="00360FB0">
            <w:pPr>
              <w:jc w:val="both"/>
              <w:rPr>
                <w:sz w:val="20"/>
              </w:rPr>
            </w:pPr>
          </w:p>
        </w:tc>
        <w:tc>
          <w:tcPr>
            <w:tcW w:w="5845" w:type="dxa"/>
          </w:tcPr>
          <w:p w14:paraId="52957DEE" w14:textId="77777777" w:rsidR="00C25C7D" w:rsidRPr="008B4DA8" w:rsidRDefault="00C25C7D" w:rsidP="00360FB0">
            <w:pPr>
              <w:jc w:val="both"/>
              <w:rPr>
                <w:sz w:val="20"/>
              </w:rPr>
            </w:pPr>
          </w:p>
        </w:tc>
      </w:tr>
      <w:tr w:rsidR="00C25C7D" w:rsidRPr="008B4DA8" w14:paraId="44F7B8C8" w14:textId="77777777">
        <w:tblPrEx>
          <w:tblCellMar>
            <w:top w:w="0" w:type="dxa"/>
            <w:bottom w:w="0" w:type="dxa"/>
          </w:tblCellMar>
        </w:tblPrEx>
        <w:tc>
          <w:tcPr>
            <w:tcW w:w="791" w:type="dxa"/>
          </w:tcPr>
          <w:p w14:paraId="2831C68D" w14:textId="77777777" w:rsidR="00C25C7D" w:rsidRPr="008B4DA8" w:rsidRDefault="00C25C7D" w:rsidP="00360FB0">
            <w:pPr>
              <w:jc w:val="both"/>
              <w:rPr>
                <w:sz w:val="20"/>
              </w:rPr>
            </w:pPr>
            <w:r w:rsidRPr="008B4DA8">
              <w:rPr>
                <w:sz w:val="20"/>
              </w:rPr>
              <w:t>42</w:t>
            </w:r>
          </w:p>
        </w:tc>
        <w:tc>
          <w:tcPr>
            <w:tcW w:w="2011" w:type="dxa"/>
          </w:tcPr>
          <w:p w14:paraId="189ACD6A" w14:textId="77777777" w:rsidR="00C25C7D" w:rsidRPr="008B4DA8" w:rsidRDefault="00C25C7D" w:rsidP="00360FB0">
            <w:pPr>
              <w:jc w:val="both"/>
              <w:rPr>
                <w:sz w:val="20"/>
              </w:rPr>
            </w:pPr>
            <w:r w:rsidRPr="008B4DA8">
              <w:rPr>
                <w:sz w:val="20"/>
              </w:rPr>
              <w:t>Exam Board</w:t>
            </w:r>
          </w:p>
        </w:tc>
        <w:tc>
          <w:tcPr>
            <w:tcW w:w="5845" w:type="dxa"/>
          </w:tcPr>
          <w:p w14:paraId="05C72C36" w14:textId="77777777" w:rsidR="00C25C7D" w:rsidRPr="008B4DA8" w:rsidRDefault="00C25C7D" w:rsidP="00360FB0">
            <w:pPr>
              <w:jc w:val="both"/>
              <w:rPr>
                <w:sz w:val="20"/>
              </w:rPr>
            </w:pPr>
          </w:p>
        </w:tc>
      </w:tr>
    </w:tbl>
    <w:p w14:paraId="6E78AE17" w14:textId="77777777" w:rsidR="00C25C7D" w:rsidRPr="008B4DA8" w:rsidRDefault="00C25C7D" w:rsidP="00360FB0">
      <w:pPr>
        <w:pStyle w:val="Footer"/>
        <w:tabs>
          <w:tab w:val="clear" w:pos="4320"/>
          <w:tab w:val="clear" w:pos="8640"/>
        </w:tabs>
        <w:jc w:val="both"/>
        <w:rPr>
          <w:sz w:val="20"/>
        </w:rPr>
        <w:sectPr w:rsidR="00C25C7D" w:rsidRPr="008B4DA8">
          <w:footerReference w:type="even" r:id="rId11"/>
          <w:footerReference w:type="default" r:id="rId12"/>
          <w:pgSz w:w="11900" w:h="16840"/>
          <w:pgMar w:top="1418" w:right="1418" w:bottom="1418" w:left="1418" w:header="720" w:footer="720" w:gutter="0"/>
          <w:cols w:space="720"/>
        </w:sectPr>
      </w:pPr>
    </w:p>
    <w:p w14:paraId="26BB959A" w14:textId="0D42E1DC" w:rsidR="00C25C7D" w:rsidRPr="008B4DA8" w:rsidRDefault="00B3381F" w:rsidP="00B3381F">
      <w:pPr>
        <w:pStyle w:val="Heading2"/>
        <w:numPr>
          <w:ilvl w:val="0"/>
          <w:numId w:val="0"/>
        </w:numPr>
        <w:ind w:left="576" w:hanging="576"/>
      </w:pPr>
      <w:r>
        <w:lastRenderedPageBreak/>
        <w:t xml:space="preserve">Appendix 4 </w:t>
      </w:r>
      <w:r w:rsidR="00C25C7D" w:rsidRPr="008B4DA8">
        <w:t>PDP MAPPING</w:t>
      </w:r>
    </w:p>
    <w:p w14:paraId="0567087F" w14:textId="77777777" w:rsidR="00C25C7D" w:rsidRPr="008B4DA8" w:rsidRDefault="00C25C7D" w:rsidP="00360FB0">
      <w:pPr>
        <w:jc w:val="both"/>
        <w:rPr>
          <w:b/>
          <w:sz w:val="20"/>
          <w:u w:val="single"/>
        </w:rPr>
      </w:pPr>
    </w:p>
    <w:p w14:paraId="5CBD918E" w14:textId="77777777" w:rsidR="00C25C7D" w:rsidRPr="008B4DA8" w:rsidRDefault="00C25C7D" w:rsidP="00360FB0">
      <w:pPr>
        <w:jc w:val="both"/>
        <w:rPr>
          <w:sz w:val="20"/>
        </w:rPr>
      </w:pPr>
    </w:p>
    <w:p w14:paraId="6F85CEDF" w14:textId="77777777" w:rsidR="00C25C7D" w:rsidRDefault="00C25C7D" w:rsidP="00360FB0">
      <w:pPr>
        <w:jc w:val="both"/>
        <w:rPr>
          <w:b/>
          <w:sz w:val="20"/>
        </w:rPr>
      </w:pPr>
      <w:r w:rsidRPr="008B4DA8">
        <w:rPr>
          <w:b/>
          <w:sz w:val="20"/>
        </w:rPr>
        <w:t xml:space="preserve">Foundation level: </w:t>
      </w:r>
    </w:p>
    <w:p w14:paraId="7B5E3C7E" w14:textId="77777777" w:rsidR="00C25C7D" w:rsidRDefault="00C25C7D" w:rsidP="00360FB0">
      <w:pPr>
        <w:jc w:val="both"/>
        <w:rPr>
          <w:b/>
          <w:sz w:val="20"/>
        </w:rPr>
      </w:pPr>
    </w:p>
    <w:p w14:paraId="694394CC" w14:textId="77777777" w:rsidR="00C25C7D" w:rsidRPr="008B4DA8" w:rsidRDefault="00C25C7D" w:rsidP="00360FB0">
      <w:pPr>
        <w:jc w:val="both"/>
        <w:rPr>
          <w:sz w:val="20"/>
        </w:rPr>
      </w:pPr>
      <w:r w:rsidRPr="008B4DA8">
        <w:rPr>
          <w:b/>
          <w:sz w:val="20"/>
        </w:rPr>
        <w:t>Foundations for Practice</w:t>
      </w:r>
      <w:r w:rsidRPr="008B4DA8">
        <w:rPr>
          <w:sz w:val="20"/>
        </w:rPr>
        <w:t>:</w:t>
      </w:r>
    </w:p>
    <w:p w14:paraId="60B04D05" w14:textId="77777777" w:rsidR="00C25C7D" w:rsidRPr="008B4DA8" w:rsidRDefault="00C25C7D" w:rsidP="00360FB0">
      <w:pPr>
        <w:jc w:val="both"/>
        <w:rPr>
          <w:sz w:val="20"/>
        </w:rPr>
      </w:pPr>
    </w:p>
    <w:p w14:paraId="66879CC5" w14:textId="77777777" w:rsidR="00C25C7D" w:rsidRDefault="00C25C7D" w:rsidP="00360FB0">
      <w:pPr>
        <w:jc w:val="both"/>
        <w:rPr>
          <w:sz w:val="20"/>
        </w:rPr>
      </w:pPr>
      <w:r w:rsidRPr="008B4DA8">
        <w:rPr>
          <w:sz w:val="20"/>
        </w:rPr>
        <w:t>Practice based module with learning agreement, review of current skills, knowledge and values, supervisor’s report (including student’s comment on their report), a review of how theory links to own practice, reflective recordings as part of the required evidence for the module</w:t>
      </w:r>
    </w:p>
    <w:p w14:paraId="7B96173E" w14:textId="77777777" w:rsidR="00C25C7D" w:rsidRDefault="00C25C7D" w:rsidP="00360FB0">
      <w:pPr>
        <w:jc w:val="both"/>
        <w:rPr>
          <w:sz w:val="20"/>
        </w:rPr>
      </w:pPr>
    </w:p>
    <w:p w14:paraId="48069205" w14:textId="77777777" w:rsidR="00C25C7D" w:rsidRDefault="00C25C7D" w:rsidP="00360FB0">
      <w:pPr>
        <w:jc w:val="both"/>
        <w:rPr>
          <w:rFonts w:cs="Arial"/>
          <w:sz w:val="20"/>
        </w:rPr>
      </w:pPr>
      <w:r>
        <w:rPr>
          <w:rFonts w:cs="Arial"/>
          <w:b/>
          <w:sz w:val="20"/>
        </w:rPr>
        <w:t>Theories and Strategies for Learning</w:t>
      </w:r>
      <w:r>
        <w:rPr>
          <w:rFonts w:cs="Arial"/>
          <w:b/>
          <w:color w:val="365F91"/>
          <w:sz w:val="20"/>
        </w:rPr>
        <w:t xml:space="preserve"> </w:t>
      </w:r>
      <w:r>
        <w:rPr>
          <w:rFonts w:cs="Arial"/>
          <w:sz w:val="20"/>
        </w:rPr>
        <w:t>requires students to determine their own preferred methods and strategies for learning, and then make appropriate plans for future learning, including the successful completion of the course.</w:t>
      </w:r>
    </w:p>
    <w:p w14:paraId="3F1CA441" w14:textId="77777777" w:rsidR="00C25C7D" w:rsidRPr="008B4DA8" w:rsidRDefault="00C25C7D" w:rsidP="00360FB0">
      <w:pPr>
        <w:jc w:val="both"/>
        <w:rPr>
          <w:b/>
          <w:sz w:val="20"/>
        </w:rPr>
      </w:pPr>
    </w:p>
    <w:p w14:paraId="48D634AB" w14:textId="77777777" w:rsidR="00C25C7D" w:rsidRPr="008B4DA8" w:rsidRDefault="00C25C7D" w:rsidP="00360FB0">
      <w:pPr>
        <w:jc w:val="both"/>
        <w:rPr>
          <w:sz w:val="20"/>
        </w:rPr>
      </w:pPr>
      <w:r w:rsidRPr="008B4DA8">
        <w:rPr>
          <w:sz w:val="20"/>
        </w:rPr>
        <w:tab/>
      </w:r>
      <w:r w:rsidRPr="008B4DA8">
        <w:rPr>
          <w:sz w:val="20"/>
        </w:rPr>
        <w:tab/>
      </w:r>
      <w:r w:rsidRPr="008B4DA8">
        <w:rPr>
          <w:sz w:val="20"/>
        </w:rPr>
        <w:tab/>
      </w:r>
      <w:r w:rsidRPr="008B4DA8">
        <w:rPr>
          <w:sz w:val="20"/>
        </w:rPr>
        <w:tab/>
      </w:r>
      <w:r w:rsidRPr="008B4DA8">
        <w:rPr>
          <w:sz w:val="20"/>
        </w:rPr>
        <w:tab/>
      </w:r>
    </w:p>
    <w:p w14:paraId="5CAF62E7" w14:textId="77777777" w:rsidR="00C25C7D" w:rsidRPr="008B4DA8" w:rsidRDefault="00C25C7D" w:rsidP="00360FB0">
      <w:pPr>
        <w:jc w:val="both"/>
        <w:rPr>
          <w:sz w:val="20"/>
        </w:rPr>
      </w:pPr>
    </w:p>
    <w:p w14:paraId="4F722F81" w14:textId="77777777" w:rsidR="00C25C7D" w:rsidRDefault="00C25C7D" w:rsidP="00360FB0">
      <w:pPr>
        <w:jc w:val="both"/>
        <w:rPr>
          <w:b/>
          <w:sz w:val="20"/>
        </w:rPr>
      </w:pPr>
      <w:r w:rsidRPr="008B4DA8">
        <w:rPr>
          <w:b/>
          <w:sz w:val="20"/>
        </w:rPr>
        <w:t xml:space="preserve">Intermediate level: </w:t>
      </w:r>
    </w:p>
    <w:p w14:paraId="6A953DCE" w14:textId="77777777" w:rsidR="00C25C7D" w:rsidRDefault="00C25C7D" w:rsidP="00360FB0">
      <w:pPr>
        <w:jc w:val="both"/>
        <w:rPr>
          <w:b/>
          <w:sz w:val="20"/>
        </w:rPr>
      </w:pPr>
    </w:p>
    <w:p w14:paraId="7A70EEC9" w14:textId="77777777" w:rsidR="00C25C7D" w:rsidRPr="008B4DA8" w:rsidRDefault="00F53E6C" w:rsidP="00360FB0">
      <w:pPr>
        <w:jc w:val="both"/>
        <w:rPr>
          <w:b/>
          <w:sz w:val="20"/>
        </w:rPr>
      </w:pPr>
      <w:r>
        <w:rPr>
          <w:b/>
          <w:sz w:val="20"/>
        </w:rPr>
        <w:t>Working in Community Settings</w:t>
      </w:r>
      <w:r w:rsidR="00C25C7D" w:rsidRPr="008B4DA8">
        <w:rPr>
          <w:b/>
          <w:sz w:val="20"/>
        </w:rPr>
        <w:t>:</w:t>
      </w:r>
    </w:p>
    <w:p w14:paraId="598584E3" w14:textId="77777777" w:rsidR="00C25C7D" w:rsidRPr="008B4DA8" w:rsidRDefault="00C25C7D" w:rsidP="00360FB0">
      <w:pPr>
        <w:jc w:val="both"/>
        <w:rPr>
          <w:sz w:val="20"/>
        </w:rPr>
      </w:pPr>
    </w:p>
    <w:p w14:paraId="7247D9A5" w14:textId="77777777" w:rsidR="00C25C7D" w:rsidRDefault="00C25C7D" w:rsidP="00360FB0">
      <w:pPr>
        <w:jc w:val="both"/>
        <w:rPr>
          <w:sz w:val="20"/>
        </w:rPr>
      </w:pPr>
      <w:r w:rsidRPr="008B4DA8">
        <w:rPr>
          <w:sz w:val="20"/>
        </w:rPr>
        <w:t>Practice based module with learning agreement, review of current skills, knowledge and values, supervisor’s report (including student’s comment on their report), a review of how theory links to own practice, reflective recordings as part of the required evidence for the module</w:t>
      </w:r>
      <w:r>
        <w:rPr>
          <w:sz w:val="20"/>
        </w:rPr>
        <w:t>.</w:t>
      </w:r>
    </w:p>
    <w:p w14:paraId="49757F55" w14:textId="77777777" w:rsidR="00C25C7D" w:rsidRDefault="00C25C7D" w:rsidP="00360FB0">
      <w:pPr>
        <w:jc w:val="both"/>
        <w:rPr>
          <w:sz w:val="20"/>
        </w:rPr>
      </w:pPr>
    </w:p>
    <w:p w14:paraId="3BA2CB67" w14:textId="77777777" w:rsidR="00C25C7D" w:rsidRDefault="00C25C7D" w:rsidP="00360FB0">
      <w:pPr>
        <w:jc w:val="both"/>
        <w:rPr>
          <w:rFonts w:cs="Arial"/>
          <w:sz w:val="20"/>
        </w:rPr>
      </w:pPr>
      <w:r>
        <w:rPr>
          <w:rFonts w:cs="Arial"/>
          <w:b/>
          <w:sz w:val="20"/>
        </w:rPr>
        <w:t>People in Action</w:t>
      </w:r>
      <w:r>
        <w:rPr>
          <w:rFonts w:cs="Arial"/>
          <w:sz w:val="20"/>
        </w:rPr>
        <w:t xml:space="preserve"> looks at the requirements of employees in the workplace, and develops strategies for ensuring successful integration into the world of work.</w:t>
      </w:r>
    </w:p>
    <w:p w14:paraId="6F61FAFE" w14:textId="77777777" w:rsidR="00C25C7D" w:rsidRPr="008B4DA8" w:rsidRDefault="00C25C7D" w:rsidP="00360FB0">
      <w:pPr>
        <w:jc w:val="both"/>
        <w:rPr>
          <w:b/>
          <w:sz w:val="20"/>
        </w:rPr>
      </w:pPr>
    </w:p>
    <w:p w14:paraId="1CE6D48B" w14:textId="77777777" w:rsidR="00C25C7D" w:rsidRPr="008B4DA8" w:rsidRDefault="00C25C7D" w:rsidP="00360FB0">
      <w:pPr>
        <w:jc w:val="both"/>
        <w:rPr>
          <w:sz w:val="20"/>
        </w:rPr>
      </w:pPr>
      <w:r w:rsidRPr="008B4DA8">
        <w:rPr>
          <w:sz w:val="20"/>
        </w:rPr>
        <w:tab/>
      </w:r>
      <w:r w:rsidRPr="008B4DA8">
        <w:rPr>
          <w:sz w:val="20"/>
        </w:rPr>
        <w:tab/>
      </w:r>
      <w:r w:rsidRPr="008B4DA8">
        <w:rPr>
          <w:sz w:val="20"/>
        </w:rPr>
        <w:tab/>
      </w:r>
      <w:r w:rsidRPr="008B4DA8">
        <w:rPr>
          <w:sz w:val="20"/>
        </w:rPr>
        <w:tab/>
      </w:r>
      <w:r w:rsidRPr="008B4DA8">
        <w:rPr>
          <w:sz w:val="20"/>
        </w:rPr>
        <w:tab/>
      </w:r>
    </w:p>
    <w:p w14:paraId="5E748C1F" w14:textId="77777777" w:rsidR="00C25C7D" w:rsidRPr="008B4DA8" w:rsidRDefault="00C25C7D" w:rsidP="00360F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rPr>
      </w:pPr>
      <w:r w:rsidRPr="008B4DA8">
        <w:rPr>
          <w:sz w:val="20"/>
        </w:rPr>
        <w:t xml:space="preserve"> </w:t>
      </w:r>
    </w:p>
    <w:p w14:paraId="383060DF" w14:textId="77777777" w:rsidR="00C25C7D" w:rsidRPr="008B4DA8" w:rsidRDefault="00C25C7D" w:rsidP="00360FB0">
      <w:pPr>
        <w:jc w:val="both"/>
        <w:rPr>
          <w:sz w:val="20"/>
        </w:rPr>
      </w:pPr>
    </w:p>
    <w:p w14:paraId="33011C29" w14:textId="77777777" w:rsidR="00C25C7D" w:rsidRDefault="00C25C7D" w:rsidP="00360FB0">
      <w:pPr>
        <w:jc w:val="both"/>
        <w:rPr>
          <w:b/>
          <w:sz w:val="20"/>
        </w:rPr>
      </w:pPr>
      <w:r w:rsidRPr="008B4DA8">
        <w:rPr>
          <w:b/>
          <w:sz w:val="20"/>
        </w:rPr>
        <w:t xml:space="preserve">Honours level: </w:t>
      </w:r>
    </w:p>
    <w:p w14:paraId="4CA21FDE" w14:textId="77777777" w:rsidR="00C25C7D" w:rsidRDefault="00C25C7D" w:rsidP="00360FB0">
      <w:pPr>
        <w:jc w:val="both"/>
        <w:rPr>
          <w:b/>
          <w:sz w:val="20"/>
        </w:rPr>
      </w:pPr>
    </w:p>
    <w:p w14:paraId="02AD72BA" w14:textId="77777777" w:rsidR="00C25C7D" w:rsidRPr="008B4DA8" w:rsidRDefault="00C25C7D" w:rsidP="00360FB0">
      <w:pPr>
        <w:jc w:val="both"/>
        <w:rPr>
          <w:b/>
          <w:sz w:val="20"/>
        </w:rPr>
      </w:pPr>
      <w:r w:rsidRPr="008B4DA8">
        <w:rPr>
          <w:b/>
          <w:sz w:val="20"/>
        </w:rPr>
        <w:t>Theorising Advanced Practice:</w:t>
      </w:r>
      <w:r w:rsidRPr="008B4DA8">
        <w:rPr>
          <w:b/>
          <w:sz w:val="20"/>
        </w:rPr>
        <w:tab/>
      </w:r>
    </w:p>
    <w:p w14:paraId="5316EC56" w14:textId="77777777" w:rsidR="00C25C7D" w:rsidRPr="008B4DA8" w:rsidRDefault="00C25C7D" w:rsidP="00360FB0">
      <w:pPr>
        <w:jc w:val="both"/>
        <w:rPr>
          <w:rFonts w:cs="Arial"/>
          <w:sz w:val="20"/>
        </w:rPr>
      </w:pPr>
    </w:p>
    <w:p w14:paraId="317583E0" w14:textId="77777777" w:rsidR="00C25C7D" w:rsidRDefault="00C25C7D" w:rsidP="00360FB0">
      <w:pPr>
        <w:jc w:val="both"/>
        <w:rPr>
          <w:rFonts w:cs="Arial"/>
          <w:sz w:val="20"/>
        </w:rPr>
      </w:pPr>
      <w:r w:rsidRPr="008B4DA8">
        <w:rPr>
          <w:sz w:val="20"/>
        </w:rPr>
        <w:t>Theorising Advanced Practice</w:t>
      </w:r>
      <w:r w:rsidRPr="008B4DA8">
        <w:rPr>
          <w:rFonts w:cs="Arial"/>
          <w:sz w:val="20"/>
        </w:rPr>
        <w:t xml:space="preserve"> focuses on the nurturing and development of supervision as an aspect of professional practice. The module also looks at the use of theory in practice and engages with the ideas of different theorists in a way which supports students’ development of professional practice. </w:t>
      </w:r>
    </w:p>
    <w:p w14:paraId="0450F0AF" w14:textId="77777777" w:rsidR="00C25C7D" w:rsidRDefault="00C25C7D" w:rsidP="00360FB0">
      <w:pPr>
        <w:jc w:val="both"/>
        <w:rPr>
          <w:rFonts w:cs="Arial"/>
          <w:sz w:val="20"/>
        </w:rPr>
      </w:pPr>
    </w:p>
    <w:p w14:paraId="302E27EA" w14:textId="77777777" w:rsidR="00C25C7D" w:rsidRPr="008B4DA8" w:rsidRDefault="00C25C7D" w:rsidP="00360FB0">
      <w:pPr>
        <w:jc w:val="both"/>
        <w:rPr>
          <w:rFonts w:cs="Arial"/>
          <w:sz w:val="20"/>
        </w:rPr>
      </w:pPr>
      <w:r>
        <w:rPr>
          <w:rFonts w:cs="Arial"/>
          <w:b/>
          <w:sz w:val="20"/>
        </w:rPr>
        <w:t>Major Study</w:t>
      </w:r>
      <w:r>
        <w:rPr>
          <w:rFonts w:cs="Arial"/>
          <w:sz w:val="20"/>
        </w:rPr>
        <w:t xml:space="preserve"> requires students to undertake a significant investigation into an aspect of their chosen vocational area.  It will develop generic transferable skills in the areas of decision making, ethical issues, communication and selecting appropriate information.</w:t>
      </w:r>
    </w:p>
    <w:p w14:paraId="75BE1AA4" w14:textId="77777777" w:rsidR="00C25C7D" w:rsidRPr="008B4DA8" w:rsidRDefault="00C25C7D" w:rsidP="00360FB0">
      <w:pPr>
        <w:jc w:val="both"/>
        <w:rPr>
          <w:sz w:val="20"/>
        </w:rPr>
      </w:pPr>
      <w:r w:rsidRPr="008B4DA8">
        <w:rPr>
          <w:sz w:val="20"/>
        </w:rPr>
        <w:tab/>
      </w:r>
      <w:r w:rsidRPr="008B4DA8">
        <w:rPr>
          <w:sz w:val="20"/>
        </w:rPr>
        <w:tab/>
      </w:r>
      <w:r w:rsidRPr="008B4DA8">
        <w:rPr>
          <w:sz w:val="20"/>
        </w:rPr>
        <w:tab/>
      </w:r>
      <w:r w:rsidRPr="008B4DA8">
        <w:rPr>
          <w:sz w:val="20"/>
        </w:rPr>
        <w:tab/>
      </w:r>
      <w:r w:rsidRPr="008B4DA8">
        <w:rPr>
          <w:sz w:val="20"/>
        </w:rPr>
        <w:tab/>
      </w:r>
    </w:p>
    <w:p w14:paraId="1910EF3B" w14:textId="77777777" w:rsidR="00C25C7D" w:rsidRPr="008B4DA8" w:rsidRDefault="00C25C7D" w:rsidP="00360FB0">
      <w:pPr>
        <w:jc w:val="both"/>
        <w:rPr>
          <w:sz w:val="20"/>
        </w:rPr>
      </w:pPr>
    </w:p>
    <w:p w14:paraId="39B66268" w14:textId="77777777" w:rsidR="00C25C7D" w:rsidRPr="00533322" w:rsidRDefault="00C25C7D" w:rsidP="00360FB0">
      <w:pPr>
        <w:jc w:val="both"/>
        <w:rPr>
          <w:rFonts w:cs="Arial"/>
          <w:sz w:val="22"/>
        </w:rPr>
      </w:pPr>
    </w:p>
    <w:sectPr w:rsidR="00C25C7D" w:rsidRPr="00533322" w:rsidSect="00C25C7D">
      <w:footerReference w:type="even" r:id="rId13"/>
      <w:footerReference w:type="default" r:id="rId14"/>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8690" w14:textId="77777777" w:rsidR="00DD1812" w:rsidRDefault="00DD1812">
      <w:r>
        <w:separator/>
      </w:r>
    </w:p>
  </w:endnote>
  <w:endnote w:type="continuationSeparator" w:id="0">
    <w:p w14:paraId="48710EEA" w14:textId="77777777" w:rsidR="00DD1812" w:rsidRDefault="00DD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BECD" w14:textId="77777777" w:rsidR="00C25C7D" w:rsidRDefault="00C25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B5A97F0" w14:textId="77777777" w:rsidR="00C25C7D" w:rsidRDefault="00C25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223C" w14:textId="77777777" w:rsidR="00C25C7D" w:rsidRDefault="00C25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BDC">
      <w:rPr>
        <w:rStyle w:val="PageNumber"/>
        <w:noProof/>
      </w:rPr>
      <w:t>20</w:t>
    </w:r>
    <w:r>
      <w:rPr>
        <w:rStyle w:val="PageNumber"/>
      </w:rPr>
      <w:fldChar w:fldCharType="end"/>
    </w:r>
  </w:p>
  <w:p w14:paraId="2F632426" w14:textId="77777777" w:rsidR="00C25C7D" w:rsidRDefault="00C25C7D" w:rsidP="00C25C7D">
    <w:pPr>
      <w:pStyle w:val="Footer"/>
      <w:ind w:right="360"/>
    </w:pPr>
    <w:fldSimple w:instr=" FILENAME  \p  \* MERGEFORMAT ">
      <w:r w:rsidR="008E0DB1">
        <w:rPr>
          <w:noProof/>
        </w:rPr>
        <w:t>http://wisdom:3797/teaching/programmes/school-of-education-and-professional-development/ba-youth-and-community-work/specification/BA-Youth and Community Work-Sep2016-Present.doc</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6888" w14:textId="77777777" w:rsidR="00C25C7D" w:rsidRDefault="00C25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D952748" w14:textId="77777777" w:rsidR="00C25C7D" w:rsidRDefault="00C25C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91D2" w14:textId="77777777" w:rsidR="00C25C7D" w:rsidRDefault="00C25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BDC">
      <w:rPr>
        <w:rStyle w:val="PageNumber"/>
        <w:noProof/>
      </w:rPr>
      <w:t>30</w:t>
    </w:r>
    <w:r>
      <w:rPr>
        <w:rStyle w:val="PageNumber"/>
      </w:rPr>
      <w:fldChar w:fldCharType="end"/>
    </w:r>
  </w:p>
  <w:p w14:paraId="07F2153C" w14:textId="77777777" w:rsidR="00C25C7D" w:rsidRDefault="00C25C7D" w:rsidP="00C25C7D">
    <w:pPr>
      <w:pStyle w:val="Footer"/>
      <w:ind w:right="360"/>
    </w:pPr>
    <w:fldSimple w:instr=" FILENAME  \p  \* MERGEFORMAT ">
      <w:r w:rsidR="008E0DB1">
        <w:rPr>
          <w:noProof/>
        </w:rPr>
        <w:t>http://wisdom:3797/teaching/programmes/school-of-education-and-professional-development/ba-youth-and-community-work/specification/BA-Youth and Community Work-Sep2016-Present.doc</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44087" w14:textId="77777777" w:rsidR="00C25C7D" w:rsidRDefault="00C25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E5C6B10" w14:textId="77777777" w:rsidR="00C25C7D" w:rsidRDefault="00C25C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7BF5" w14:textId="77777777" w:rsidR="00C25C7D" w:rsidRDefault="00C25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BDC">
      <w:rPr>
        <w:rStyle w:val="PageNumber"/>
        <w:noProof/>
      </w:rPr>
      <w:t>31</w:t>
    </w:r>
    <w:r>
      <w:rPr>
        <w:rStyle w:val="PageNumber"/>
      </w:rPr>
      <w:fldChar w:fldCharType="end"/>
    </w:r>
  </w:p>
  <w:p w14:paraId="3ECE3009" w14:textId="77777777" w:rsidR="00C25C7D" w:rsidRDefault="00C25C7D" w:rsidP="00C25C7D">
    <w:pPr>
      <w:pStyle w:val="Footer"/>
      <w:ind w:right="360"/>
    </w:pPr>
    <w:fldSimple w:instr=" FILENAME  \p  \* MERGEFORMAT ">
      <w:r w:rsidR="008E0DB1">
        <w:rPr>
          <w:noProof/>
        </w:rPr>
        <w:t>http://wisdom:3797/teaching/programmes/school-of-education-and-professional-development/ba-youth-and-community-work/specification/BA-Youth and Community Work-Sep2016-Present.doc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A37C" w14:textId="77777777" w:rsidR="00DD1812" w:rsidRDefault="00DD1812">
      <w:r>
        <w:separator/>
      </w:r>
    </w:p>
  </w:footnote>
  <w:footnote w:type="continuationSeparator" w:id="0">
    <w:p w14:paraId="7ED14DDC" w14:textId="77777777" w:rsidR="00DD1812" w:rsidRDefault="00DD1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DB6"/>
    <w:multiLevelType w:val="hybridMultilevel"/>
    <w:tmpl w:val="D006009A"/>
    <w:lvl w:ilvl="0" w:tplc="E6C681BE">
      <w:start w:val="8"/>
      <w:numFmt w:val="bullet"/>
      <w:lvlText w:val=""/>
      <w:lvlJc w:val="left"/>
      <w:pPr>
        <w:tabs>
          <w:tab w:val="num" w:pos="363"/>
        </w:tabs>
        <w:ind w:left="363" w:hanging="363"/>
      </w:pPr>
      <w:rPr>
        <w:rFonts w:ascii="Symbol" w:eastAsia="Times New Roman" w:hAnsi="Symbol" w:hint="default"/>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A6EC0"/>
    <w:multiLevelType w:val="hybridMultilevel"/>
    <w:tmpl w:val="2340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6387D"/>
    <w:multiLevelType w:val="hybridMultilevel"/>
    <w:tmpl w:val="A49EACA2"/>
    <w:lvl w:ilvl="0" w:tplc="FFFFFFFF">
      <w:start w:val="1"/>
      <w:numFmt w:val="bullet"/>
      <w:lvlText w:val=""/>
      <w:lvlJc w:val="left"/>
      <w:pPr>
        <w:tabs>
          <w:tab w:val="num" w:pos="567"/>
        </w:tabs>
        <w:ind w:left="567" w:hanging="567"/>
      </w:pPr>
      <w:rPr>
        <w:rFonts w:ascii="Symbol" w:hAnsi="Symbol" w:hint="default"/>
      </w:rPr>
    </w:lvl>
    <w:lvl w:ilvl="1" w:tplc="FFFFFFFF">
      <w:start w:val="2"/>
      <w:numFmt w:val="bullet"/>
      <w:lvlText w:val=""/>
      <w:lvlJc w:val="left"/>
      <w:pPr>
        <w:tabs>
          <w:tab w:val="num" w:pos="1647"/>
        </w:tabs>
        <w:ind w:left="1647" w:hanging="56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5C4CB6"/>
    <w:multiLevelType w:val="hybridMultilevel"/>
    <w:tmpl w:val="2C4226B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0B7A"/>
    <w:multiLevelType w:val="multilevel"/>
    <w:tmpl w:val="09601388"/>
    <w:lvl w:ilvl="0">
      <w:start w:val="1"/>
      <w:numFmt w:val="decimal"/>
      <w:pStyle w:val="Heading1"/>
      <w:lvlText w:val="%1"/>
      <w:lvlJc w:val="left"/>
      <w:pPr>
        <w:tabs>
          <w:tab w:val="num" w:pos="9505"/>
        </w:tabs>
        <w:ind w:left="9505"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432" w:hanging="432"/>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1C37F8B"/>
    <w:multiLevelType w:val="hybridMultilevel"/>
    <w:tmpl w:val="A4A27532"/>
    <w:lvl w:ilvl="0" w:tplc="FFFFFFFF">
      <w:start w:val="2"/>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46D63"/>
    <w:multiLevelType w:val="hybridMultilevel"/>
    <w:tmpl w:val="5CE06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A345E"/>
    <w:multiLevelType w:val="hybridMultilevel"/>
    <w:tmpl w:val="673CFE3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857E8"/>
    <w:multiLevelType w:val="hybridMultilevel"/>
    <w:tmpl w:val="35E611EE"/>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4C7A24"/>
    <w:multiLevelType w:val="hybridMultilevel"/>
    <w:tmpl w:val="14CA085C"/>
    <w:lvl w:ilvl="0" w:tplc="E6C681BE">
      <w:start w:val="8"/>
      <w:numFmt w:val="bullet"/>
      <w:lvlText w:val=""/>
      <w:lvlJc w:val="left"/>
      <w:pPr>
        <w:tabs>
          <w:tab w:val="num" w:pos="363"/>
        </w:tabs>
        <w:ind w:left="363" w:hanging="363"/>
      </w:pPr>
      <w:rPr>
        <w:rFonts w:ascii="Symbol" w:eastAsia="Times New Roman" w:hAnsi="Symbol" w:hint="default"/>
        <w:color w:val="auto"/>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66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243514"/>
    <w:multiLevelType w:val="hybridMultilevel"/>
    <w:tmpl w:val="E4287C0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C412ED"/>
    <w:multiLevelType w:val="hybridMultilevel"/>
    <w:tmpl w:val="A178F8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5D387D"/>
    <w:multiLevelType w:val="hybridMultilevel"/>
    <w:tmpl w:val="C15ED018"/>
    <w:lvl w:ilvl="0" w:tplc="0809000F">
      <w:start w:val="1"/>
      <w:numFmt w:val="bullet"/>
      <w:lvlText w:val=""/>
      <w:lvlJc w:val="left"/>
      <w:pPr>
        <w:tabs>
          <w:tab w:val="num" w:pos="567"/>
        </w:tabs>
        <w:ind w:left="567"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EE4D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A95180"/>
    <w:multiLevelType w:val="hybridMultilevel"/>
    <w:tmpl w:val="D9426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9"/>
  </w:num>
  <w:num w:numId="4">
    <w:abstractNumId w:val="12"/>
  </w:num>
  <w:num w:numId="5">
    <w:abstractNumId w:val="8"/>
  </w:num>
  <w:num w:numId="6">
    <w:abstractNumId w:val="14"/>
  </w:num>
  <w:num w:numId="7">
    <w:abstractNumId w:val="4"/>
  </w:num>
  <w:num w:numId="8">
    <w:abstractNumId w:val="6"/>
  </w:num>
  <w:num w:numId="9">
    <w:abstractNumId w:val="3"/>
  </w:num>
  <w:num w:numId="10">
    <w:abstractNumId w:val="15"/>
  </w:num>
  <w:num w:numId="11">
    <w:abstractNumId w:val="11"/>
  </w:num>
  <w:num w:numId="12">
    <w:abstractNumId w:val="0"/>
  </w:num>
  <w:num w:numId="13">
    <w:abstractNumId w:val="10"/>
  </w:num>
  <w:num w:numId="14">
    <w:abstractNumId w:val="2"/>
  </w:num>
  <w:num w:numId="15">
    <w:abstractNumId w:val="13"/>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A8"/>
    <w:rsid w:val="00026F6F"/>
    <w:rsid w:val="00041556"/>
    <w:rsid w:val="00056A59"/>
    <w:rsid w:val="00085DB7"/>
    <w:rsid w:val="00091ED9"/>
    <w:rsid w:val="000D0BDC"/>
    <w:rsid w:val="000D28E5"/>
    <w:rsid w:val="000D58DE"/>
    <w:rsid w:val="000D5E30"/>
    <w:rsid w:val="00102E80"/>
    <w:rsid w:val="00132CC0"/>
    <w:rsid w:val="001D2D12"/>
    <w:rsid w:val="001D5EE5"/>
    <w:rsid w:val="001E4E13"/>
    <w:rsid w:val="001F3863"/>
    <w:rsid w:val="00247C18"/>
    <w:rsid w:val="00291CCF"/>
    <w:rsid w:val="002B2E56"/>
    <w:rsid w:val="002D6B31"/>
    <w:rsid w:val="002D6EC6"/>
    <w:rsid w:val="002E4A5D"/>
    <w:rsid w:val="002E4BDC"/>
    <w:rsid w:val="002F2325"/>
    <w:rsid w:val="002F33A6"/>
    <w:rsid w:val="003351A8"/>
    <w:rsid w:val="00336DE0"/>
    <w:rsid w:val="00341353"/>
    <w:rsid w:val="00345BB3"/>
    <w:rsid w:val="00360FB0"/>
    <w:rsid w:val="00365B59"/>
    <w:rsid w:val="003D64E2"/>
    <w:rsid w:val="003E2E84"/>
    <w:rsid w:val="0044406A"/>
    <w:rsid w:val="00446130"/>
    <w:rsid w:val="004531CC"/>
    <w:rsid w:val="004A24DD"/>
    <w:rsid w:val="00500855"/>
    <w:rsid w:val="005116CD"/>
    <w:rsid w:val="00526C10"/>
    <w:rsid w:val="00533322"/>
    <w:rsid w:val="00533E3A"/>
    <w:rsid w:val="00556725"/>
    <w:rsid w:val="005A1743"/>
    <w:rsid w:val="005A2E74"/>
    <w:rsid w:val="005A3567"/>
    <w:rsid w:val="005B6895"/>
    <w:rsid w:val="005F60AD"/>
    <w:rsid w:val="00644212"/>
    <w:rsid w:val="00672879"/>
    <w:rsid w:val="006A32C4"/>
    <w:rsid w:val="006B23A7"/>
    <w:rsid w:val="006C6DB4"/>
    <w:rsid w:val="006D082A"/>
    <w:rsid w:val="006F6478"/>
    <w:rsid w:val="007049F4"/>
    <w:rsid w:val="00723B2F"/>
    <w:rsid w:val="00742D5E"/>
    <w:rsid w:val="0074556D"/>
    <w:rsid w:val="00847F85"/>
    <w:rsid w:val="008A1800"/>
    <w:rsid w:val="008D3221"/>
    <w:rsid w:val="008E0DB1"/>
    <w:rsid w:val="008E3F54"/>
    <w:rsid w:val="008F510C"/>
    <w:rsid w:val="008F7E81"/>
    <w:rsid w:val="009105FB"/>
    <w:rsid w:val="00955D25"/>
    <w:rsid w:val="009A32E0"/>
    <w:rsid w:val="009B153E"/>
    <w:rsid w:val="009E383D"/>
    <w:rsid w:val="009F567A"/>
    <w:rsid w:val="00A10788"/>
    <w:rsid w:val="00A363CE"/>
    <w:rsid w:val="00A519A3"/>
    <w:rsid w:val="00A833AC"/>
    <w:rsid w:val="00AA2B7B"/>
    <w:rsid w:val="00AF51B2"/>
    <w:rsid w:val="00B065EC"/>
    <w:rsid w:val="00B31399"/>
    <w:rsid w:val="00B3381F"/>
    <w:rsid w:val="00B96FCC"/>
    <w:rsid w:val="00BC5385"/>
    <w:rsid w:val="00BC6421"/>
    <w:rsid w:val="00BC688C"/>
    <w:rsid w:val="00BF1F16"/>
    <w:rsid w:val="00BF41C3"/>
    <w:rsid w:val="00C03A30"/>
    <w:rsid w:val="00C24239"/>
    <w:rsid w:val="00C25C7D"/>
    <w:rsid w:val="00C74C4C"/>
    <w:rsid w:val="00C82D94"/>
    <w:rsid w:val="00C9704A"/>
    <w:rsid w:val="00D17BEA"/>
    <w:rsid w:val="00D26A68"/>
    <w:rsid w:val="00D75F60"/>
    <w:rsid w:val="00DC17FE"/>
    <w:rsid w:val="00DD1812"/>
    <w:rsid w:val="00DE11DE"/>
    <w:rsid w:val="00E34896"/>
    <w:rsid w:val="00E46320"/>
    <w:rsid w:val="00E96408"/>
    <w:rsid w:val="00EA481B"/>
    <w:rsid w:val="00ED3CC4"/>
    <w:rsid w:val="00EF1A03"/>
    <w:rsid w:val="00F04E73"/>
    <w:rsid w:val="00F2331D"/>
    <w:rsid w:val="00F402B4"/>
    <w:rsid w:val="00F530F6"/>
    <w:rsid w:val="00F53E6C"/>
    <w:rsid w:val="00F57AD6"/>
    <w:rsid w:val="00FA26FC"/>
    <w:rsid w:val="00FC1C93"/>
    <w:rsid w:val="00FF2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6B3627"/>
  <w15:chartTrackingRefBased/>
  <w15:docId w15:val="{3B376678-B970-4A8B-8CDF-878F703A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18"/>
    </w:rPr>
  </w:style>
  <w:style w:type="paragraph" w:styleId="Heading1">
    <w:name w:val="heading 1"/>
    <w:next w:val="Normal"/>
    <w:qFormat/>
    <w:rsid w:val="00B3381F"/>
    <w:pPr>
      <w:keepNext/>
      <w:numPr>
        <w:numId w:val="1"/>
      </w:numPr>
      <w:ind w:left="432"/>
      <w:outlineLvl w:val="0"/>
    </w:pPr>
    <w:rPr>
      <w:rFonts w:ascii="Arial" w:hAnsi="Arial"/>
      <w:b/>
      <w:caps/>
      <w:kern w:val="28"/>
      <w:sz w:val="24"/>
    </w:rPr>
  </w:style>
  <w:style w:type="paragraph" w:styleId="Heading2">
    <w:name w:val="heading 2"/>
    <w:basedOn w:val="Normal"/>
    <w:next w:val="Normal"/>
    <w:qFormat/>
    <w:pPr>
      <w:keepNext/>
      <w:numPr>
        <w:ilvl w:val="1"/>
        <w:numId w:val="1"/>
      </w:numPr>
      <w:outlineLvl w:val="1"/>
    </w:pPr>
    <w:rPr>
      <w:b/>
      <w:caps/>
      <w:sz w:val="28"/>
    </w:rPr>
  </w:style>
  <w:style w:type="paragraph" w:styleId="Heading3">
    <w:name w:val="heading 3"/>
    <w:basedOn w:val="Normal"/>
    <w:next w:val="Normal"/>
    <w:qFormat/>
    <w:pPr>
      <w:keepNext/>
      <w:numPr>
        <w:ilvl w:val="2"/>
        <w:numId w:val="1"/>
      </w:numPr>
      <w:outlineLvl w:val="2"/>
    </w:pPr>
    <w:rPr>
      <w:b/>
      <w:sz w:val="28"/>
    </w:rPr>
  </w:style>
  <w:style w:type="paragraph" w:styleId="Heading4">
    <w:name w:val="heading 4"/>
    <w:basedOn w:val="Normal"/>
    <w:next w:val="Normal"/>
    <w:qFormat/>
    <w:pPr>
      <w:keepNext/>
      <w:numPr>
        <w:ilvl w:val="3"/>
        <w:numId w:val="1"/>
      </w:numPr>
      <w:outlineLvl w:val="3"/>
    </w:pPr>
    <w:rPr>
      <w:i/>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270"/>
    </w:pPr>
  </w:style>
  <w:style w:type="paragraph" w:styleId="BodyTextIndent2">
    <w:name w:val="Body Text Indent 2"/>
    <w:basedOn w:val="Normal"/>
    <w:pPr>
      <w:ind w:left="360"/>
    </w:pPr>
  </w:style>
  <w:style w:type="paragraph" w:styleId="BodyText">
    <w:name w:val="Body Text"/>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Pr>
      <w:b/>
    </w:rPr>
  </w:style>
  <w:style w:type="paragraph" w:styleId="Title">
    <w:name w:val="Title"/>
    <w:basedOn w:val="Normal"/>
    <w:qFormat/>
    <w:pPr>
      <w:jc w:val="center"/>
    </w:pPr>
    <w:rPr>
      <w:b/>
      <w:sz w:val="32"/>
    </w:rPr>
  </w:style>
  <w:style w:type="paragraph" w:styleId="BodyTextIndent3">
    <w:name w:val="Body Text Indent 3"/>
    <w:basedOn w:val="Normal"/>
    <w:pPr>
      <w:ind w:left="450"/>
    </w:pPr>
  </w:style>
  <w:style w:type="paragraph" w:styleId="BodyText3">
    <w:name w:val="Body Text 3"/>
    <w:basedOn w:val="Normal"/>
    <w:pPr>
      <w:jc w:val="center"/>
    </w:pPr>
    <w:rPr>
      <w:i/>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pPr>
      <w:ind w:left="440" w:hanging="440"/>
    </w:pPr>
  </w:style>
  <w:style w:type="paragraph" w:styleId="TOC1">
    <w:name w:val="toc 1"/>
    <w:basedOn w:val="Normal"/>
    <w:next w:val="Normal"/>
    <w:autoRedefine/>
    <w:semiHidden/>
    <w:pPr>
      <w:tabs>
        <w:tab w:val="left" w:pos="440"/>
        <w:tab w:val="right" w:leader="dot" w:pos="8296"/>
      </w:tabs>
    </w:pPr>
    <w:rPr>
      <w:b/>
      <w:noProof/>
    </w:rPr>
  </w:style>
  <w:style w:type="paragraph" w:styleId="TOC2">
    <w:name w:val="toc 2"/>
    <w:basedOn w:val="Normal"/>
    <w:next w:val="Normal"/>
    <w:autoRedefine/>
    <w:semiHidden/>
    <w:pPr>
      <w:tabs>
        <w:tab w:val="left" w:pos="660"/>
        <w:tab w:val="right" w:leader="dot" w:pos="8296"/>
      </w:tabs>
      <w:ind w:left="220"/>
    </w:pPr>
    <w:rPr>
      <w:b/>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Header">
    <w:name w:val="header"/>
    <w:basedOn w:val="Normal"/>
    <w:pPr>
      <w:tabs>
        <w:tab w:val="center" w:pos="4153"/>
        <w:tab w:val="right" w:pos="8306"/>
      </w:tabs>
    </w:pPr>
    <w:rPr>
      <w:rFonts w:ascii="Univers (W1)" w:hAnsi="Univers (W1)"/>
      <w:lang w:eastAsia="en-US"/>
    </w:rPr>
  </w:style>
  <w:style w:type="paragraph" w:styleId="BalloonText">
    <w:name w:val="Balloon Text"/>
    <w:basedOn w:val="Normal"/>
    <w:semiHidden/>
    <w:rsid w:val="00695DB5"/>
    <w:rPr>
      <w:rFonts w:ascii="Tahoma" w:hAnsi="Tahoma" w:cs="Tahoma"/>
      <w:sz w:val="16"/>
      <w:szCs w:val="16"/>
    </w:rPr>
  </w:style>
  <w:style w:type="character" w:styleId="CommentReference">
    <w:name w:val="annotation reference"/>
    <w:semiHidden/>
    <w:rsid w:val="005F75D2"/>
    <w:rPr>
      <w:sz w:val="16"/>
      <w:szCs w:val="16"/>
    </w:rPr>
  </w:style>
  <w:style w:type="paragraph" w:styleId="CommentText">
    <w:name w:val="annotation text"/>
    <w:basedOn w:val="Normal"/>
    <w:semiHidden/>
    <w:rsid w:val="005F75D2"/>
    <w:rPr>
      <w:sz w:val="20"/>
    </w:rPr>
  </w:style>
  <w:style w:type="paragraph" w:styleId="CommentSubject">
    <w:name w:val="annotation subject"/>
    <w:basedOn w:val="CommentText"/>
    <w:next w:val="CommentText"/>
    <w:semiHidden/>
    <w:rsid w:val="005F75D2"/>
    <w:rPr>
      <w:b/>
      <w:bCs/>
    </w:rPr>
  </w:style>
  <w:style w:type="table" w:styleId="TableGrid">
    <w:name w:val="Table Grid"/>
    <w:basedOn w:val="TableNormal"/>
    <w:uiPriority w:val="59"/>
    <w:rsid w:val="00F14FC0"/>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5B3403"/>
    <w:pPr>
      <w:ind w:left="720"/>
    </w:pPr>
  </w:style>
  <w:style w:type="character" w:styleId="Hyperlink">
    <w:name w:val="Hyperlink"/>
    <w:rsid w:val="001E7D47"/>
    <w:rPr>
      <w:color w:val="0000FF"/>
      <w:u w:val="single"/>
    </w:rPr>
  </w:style>
  <w:style w:type="character" w:customStyle="1" w:styleId="BodyText2Char">
    <w:name w:val="Body Text 2 Char"/>
    <w:link w:val="BodyText2"/>
    <w:rsid w:val="00690FAE"/>
    <w:rPr>
      <w:rFonts w:ascii="Arial" w:hAnsi="Arial"/>
      <w:b/>
      <w:sz w:val="18"/>
    </w:rPr>
  </w:style>
  <w:style w:type="character" w:customStyle="1" w:styleId="FooterChar">
    <w:name w:val="Footer Char"/>
    <w:link w:val="Footer"/>
    <w:uiPriority w:val="99"/>
    <w:rsid w:val="00C572E0"/>
    <w:rPr>
      <w:rFonts w:ascii="Arial" w:hAnsi="Arial"/>
      <w:sz w:val="18"/>
    </w:rPr>
  </w:style>
  <w:style w:type="paragraph" w:customStyle="1" w:styleId="xmsonormal">
    <w:name w:val="x_msonormal"/>
    <w:basedOn w:val="Normal"/>
    <w:rsid w:val="00C572E0"/>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0D0BDC"/>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60FB0"/>
    <w:pPr>
      <w:ind w:left="720"/>
    </w:pPr>
  </w:style>
  <w:style w:type="table" w:customStyle="1" w:styleId="TableGrid2">
    <w:name w:val="Table Grid2"/>
    <w:basedOn w:val="TableNormal"/>
    <w:next w:val="TableGrid"/>
    <w:uiPriority w:val="39"/>
    <w:rsid w:val="00B33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6796">
      <w:bodyDiv w:val="1"/>
      <w:marLeft w:val="0"/>
      <w:marRight w:val="0"/>
      <w:marTop w:val="0"/>
      <w:marBottom w:val="0"/>
      <w:divBdr>
        <w:top w:val="none" w:sz="0" w:space="0" w:color="auto"/>
        <w:left w:val="none" w:sz="0" w:space="0" w:color="auto"/>
        <w:bottom w:val="none" w:sz="0" w:space="0" w:color="auto"/>
        <w:right w:val="none" w:sz="0" w:space="0" w:color="auto"/>
      </w:divBdr>
      <w:divsChild>
        <w:div w:id="1342048597">
          <w:marLeft w:val="0"/>
          <w:marRight w:val="0"/>
          <w:marTop w:val="0"/>
          <w:marBottom w:val="0"/>
          <w:divBdr>
            <w:top w:val="none" w:sz="0" w:space="0" w:color="auto"/>
            <w:left w:val="none" w:sz="0" w:space="0" w:color="auto"/>
            <w:bottom w:val="none" w:sz="0" w:space="0" w:color="auto"/>
            <w:right w:val="none" w:sz="0" w:space="0" w:color="auto"/>
          </w:divBdr>
          <w:divsChild>
            <w:div w:id="1140464324">
              <w:marLeft w:val="0"/>
              <w:marRight w:val="0"/>
              <w:marTop w:val="0"/>
              <w:marBottom w:val="0"/>
              <w:divBdr>
                <w:top w:val="none" w:sz="0" w:space="0" w:color="auto"/>
                <w:left w:val="none" w:sz="0" w:space="0" w:color="auto"/>
                <w:bottom w:val="none" w:sz="0" w:space="0" w:color="auto"/>
                <w:right w:val="none" w:sz="0" w:space="0" w:color="auto"/>
              </w:divBdr>
              <w:divsChild>
                <w:div w:id="2085029496">
                  <w:marLeft w:val="0"/>
                  <w:marRight w:val="0"/>
                  <w:marTop w:val="0"/>
                  <w:marBottom w:val="0"/>
                  <w:divBdr>
                    <w:top w:val="none" w:sz="0" w:space="0" w:color="auto"/>
                    <w:left w:val="none" w:sz="0" w:space="0" w:color="auto"/>
                    <w:bottom w:val="none" w:sz="0" w:space="0" w:color="auto"/>
                    <w:right w:val="none" w:sz="0" w:space="0" w:color="auto"/>
                  </w:divBdr>
                  <w:divsChild>
                    <w:div w:id="292905307">
                      <w:marLeft w:val="0"/>
                      <w:marRight w:val="0"/>
                      <w:marTop w:val="0"/>
                      <w:marBottom w:val="0"/>
                      <w:divBdr>
                        <w:top w:val="none" w:sz="0" w:space="0" w:color="auto"/>
                        <w:left w:val="none" w:sz="0" w:space="0" w:color="auto"/>
                        <w:bottom w:val="none" w:sz="0" w:space="0" w:color="auto"/>
                        <w:right w:val="none" w:sz="0" w:space="0" w:color="auto"/>
                      </w:divBdr>
                      <w:divsChild>
                        <w:div w:id="1718552607">
                          <w:marLeft w:val="0"/>
                          <w:marRight w:val="0"/>
                          <w:marTop w:val="0"/>
                          <w:marBottom w:val="0"/>
                          <w:divBdr>
                            <w:top w:val="none" w:sz="0" w:space="0" w:color="auto"/>
                            <w:left w:val="none" w:sz="0" w:space="0" w:color="auto"/>
                            <w:bottom w:val="none" w:sz="0" w:space="0" w:color="auto"/>
                            <w:right w:val="none" w:sz="0" w:space="0" w:color="auto"/>
                          </w:divBdr>
                          <w:divsChild>
                            <w:div w:id="1157765698">
                              <w:marLeft w:val="0"/>
                              <w:marRight w:val="0"/>
                              <w:marTop w:val="0"/>
                              <w:marBottom w:val="0"/>
                              <w:divBdr>
                                <w:top w:val="none" w:sz="0" w:space="0" w:color="auto"/>
                                <w:left w:val="none" w:sz="0" w:space="0" w:color="auto"/>
                                <w:bottom w:val="none" w:sz="0" w:space="0" w:color="auto"/>
                                <w:right w:val="none" w:sz="0" w:space="0" w:color="auto"/>
                              </w:divBdr>
                              <w:divsChild>
                                <w:div w:id="783619639">
                                  <w:marLeft w:val="0"/>
                                  <w:marRight w:val="0"/>
                                  <w:marTop w:val="0"/>
                                  <w:marBottom w:val="0"/>
                                  <w:divBdr>
                                    <w:top w:val="none" w:sz="0" w:space="0" w:color="auto"/>
                                    <w:left w:val="none" w:sz="0" w:space="0" w:color="auto"/>
                                    <w:bottom w:val="none" w:sz="0" w:space="0" w:color="auto"/>
                                    <w:right w:val="none" w:sz="0" w:space="0" w:color="auto"/>
                                  </w:divBdr>
                                  <w:divsChild>
                                    <w:div w:id="9471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2.hud.ac.uk/registry/students_handbook.php"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2.hud.ac.uk/registry/regulations.php"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31</Pages>
  <Words>10818</Words>
  <Characters>63608</Characters>
  <Application>Microsoft Office Word</Application>
  <DocSecurity>0</DocSecurity>
  <Lines>530</Lines>
  <Paragraphs>148</Paragraphs>
  <ScaleCrop>false</ScaleCrop>
  <HeadingPairs>
    <vt:vector size="2" baseType="variant">
      <vt:variant>
        <vt:lpstr>Title</vt:lpstr>
      </vt:variant>
      <vt:variant>
        <vt:i4>1</vt:i4>
      </vt:variant>
    </vt:vector>
  </HeadingPairs>
  <TitlesOfParts>
    <vt:vector size="1" baseType="lpstr">
      <vt:lpstr>BA-Youth and Community Work-Feb 2019 -Present 04.02.2019</vt:lpstr>
    </vt:vector>
  </TitlesOfParts>
  <Company>University of Huddersfield</Company>
  <LinksUpToDate>false</LinksUpToDate>
  <CharactersWithSpaces>74278</CharactersWithSpaces>
  <SharedDoc>false</SharedDoc>
  <HLinks>
    <vt:vector size="12" baseType="variant">
      <vt:variant>
        <vt:i4>3080223</vt:i4>
      </vt:variant>
      <vt:variant>
        <vt:i4>3</vt:i4>
      </vt:variant>
      <vt:variant>
        <vt:i4>0</vt:i4>
      </vt:variant>
      <vt:variant>
        <vt:i4>5</vt:i4>
      </vt:variant>
      <vt:variant>
        <vt:lpwstr>http://www2.hud.ac.uk/registry/students_handbook.php</vt:lpwstr>
      </vt:variant>
      <vt:variant>
        <vt:lpwstr>
        </vt:lpwstr>
      </vt:variant>
      <vt:variant>
        <vt:i4>7798895</vt:i4>
      </vt:variant>
      <vt:variant>
        <vt:i4>0</vt:i4>
      </vt:variant>
      <vt:variant>
        <vt:i4>0</vt:i4>
      </vt:variant>
      <vt:variant>
        <vt:i4>5</vt:i4>
      </vt:variant>
      <vt:variant>
        <vt:lpwstr>http://www2.hud.ac.uk/registry/regulations.php</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BA-Youth and Community Work-Feb 2019 -Present 04.02.2019</dc:title>
  <dc:subject/>
  <dc:creator>EW/LN/CB</dc:creator>
  <keywords/>
  <lastModifiedBy>Sigita Barbuskaite</lastModifiedBy>
  <revision>3</revision>
  <lastPrinted>2016-10-14T11:17:00.0000000Z</lastPrinted>
  <dcterms:created xsi:type="dcterms:W3CDTF">2021-07-12T12:43:00.0000000Z</dcterms:created>
  <dcterms:modified xsi:type="dcterms:W3CDTF">2021-07-12T13:05:03.8870000Z</dcterms:modified>
</coreProperties>
</file>