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9965C" w14:textId="1B1A4CA7" w:rsidR="001E010F" w:rsidRDefault="001E010F" w:rsidP="001E010F">
      <w:pPr>
        <w:pStyle w:val="Heading1"/>
        <w:rPr>
          <w:rStyle w:val="eop"/>
          <w:rFonts w:cs="Arial"/>
          <w:color w:val="1F4E79"/>
          <w:sz w:val="32"/>
        </w:rPr>
      </w:pPr>
      <w:r>
        <w:rPr>
          <w:rStyle w:val="normaltextrun"/>
          <w:rFonts w:cs="Arial"/>
          <w:b/>
          <w:bCs/>
          <w:color w:val="1F4E79"/>
          <w:sz w:val="32"/>
          <w:lang w:val="en-US"/>
        </w:rPr>
        <w:t>Principles related to the administration of emergency medication</w:t>
      </w:r>
      <w:r>
        <w:rPr>
          <w:rStyle w:val="eop"/>
          <w:rFonts w:cs="Arial"/>
          <w:color w:val="1F4E79"/>
          <w:sz w:val="32"/>
        </w:rPr>
        <w:t> </w:t>
      </w:r>
    </w:p>
    <w:p w14:paraId="5AFB5ED6" w14:textId="77777777" w:rsidR="001E010F" w:rsidRDefault="001E010F" w:rsidP="001E010F">
      <w:pPr>
        <w:pStyle w:val="paragraph"/>
        <w:spacing w:before="0" w:beforeAutospacing="0" w:after="0" w:afterAutospacing="0"/>
        <w:textAlignment w:val="baseline"/>
        <w:rPr>
          <w:rFonts w:ascii="Segoe UI" w:hAnsi="Segoe UI" w:cs="Segoe UI"/>
          <w:color w:val="2F5496"/>
          <w:sz w:val="18"/>
          <w:szCs w:val="18"/>
        </w:rPr>
      </w:pPr>
    </w:p>
    <w:p w14:paraId="0D49F2F5" w14:textId="77777777" w:rsidR="001E010F" w:rsidRDefault="001E010F" w:rsidP="001E010F">
      <w:pPr>
        <w:rPr>
          <w:rFonts w:ascii="Segoe UI" w:hAnsi="Segoe UI" w:cs="Segoe UI"/>
          <w:color w:val="auto"/>
          <w:sz w:val="18"/>
          <w:szCs w:val="18"/>
        </w:rPr>
      </w:pPr>
      <w:r>
        <w:rPr>
          <w:rStyle w:val="normaltextrun"/>
          <w:rFonts w:cs="Arial"/>
          <w:color w:val="1F4E79"/>
          <w:lang w:val="en-US"/>
        </w:rPr>
        <w:t>This document refers to the principles around emergency medication. This is defined as medication which needs to be administered in an emergency or life-saving situation and is carried on an individual’s person – such as adrenaline via an EpiPen for anaphylactic shock or buccal midazolam during a seizure.</w:t>
      </w:r>
      <w:r>
        <w:rPr>
          <w:rStyle w:val="eop"/>
          <w:rFonts w:cs="Arial"/>
          <w:color w:val="1F4E79"/>
        </w:rPr>
        <w:t> </w:t>
      </w:r>
    </w:p>
    <w:p w14:paraId="68FA68EF" w14:textId="77777777" w:rsidR="001E010F" w:rsidRDefault="001E010F" w:rsidP="001E010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color w:val="1F4E79"/>
          <w:lang w:val="en-US"/>
        </w:rPr>
        <w:t>Wherever possible, it is hoped that the individual can self-administer the medication, but these principles relate to the times when this is not possible. This may include if the individual is unconscious or experiencing extreme panic.</w:t>
      </w:r>
      <w:r>
        <w:rPr>
          <w:rStyle w:val="eop"/>
          <w:rFonts w:ascii="Arial" w:hAnsi="Arial" w:cs="Arial"/>
          <w:color w:val="1F4E79"/>
        </w:rPr>
        <w:t> </w:t>
      </w:r>
    </w:p>
    <w:p w14:paraId="4A477C3E" w14:textId="77777777" w:rsidR="001E010F" w:rsidRDefault="001E010F" w:rsidP="001E010F">
      <w:pPr>
        <w:pStyle w:val="paragraph"/>
        <w:spacing w:before="0" w:beforeAutospacing="0" w:after="0" w:afterAutospacing="0"/>
        <w:textAlignment w:val="baseline"/>
        <w:rPr>
          <w:rStyle w:val="normaltextrun"/>
          <w:rFonts w:ascii="Arial" w:eastAsiaTheme="majorEastAsia" w:hAnsi="Arial" w:cs="Arial"/>
          <w:b/>
          <w:bCs/>
          <w:color w:val="1F4E79"/>
          <w:sz w:val="26"/>
          <w:lang w:val="en-US"/>
        </w:rPr>
      </w:pPr>
    </w:p>
    <w:p w14:paraId="6998810C" w14:textId="78720C1C" w:rsidR="001E010F" w:rsidRDefault="001E010F" w:rsidP="001E010F">
      <w:pPr>
        <w:pStyle w:val="Heading2"/>
        <w:rPr>
          <w:rFonts w:ascii="Segoe UI" w:hAnsi="Segoe UI" w:cs="Segoe UI"/>
          <w:color w:val="2F5496"/>
          <w:sz w:val="18"/>
          <w:szCs w:val="18"/>
        </w:rPr>
      </w:pPr>
      <w:r>
        <w:rPr>
          <w:rStyle w:val="normaltextrun"/>
          <w:rFonts w:cs="Arial"/>
          <w:b/>
          <w:bCs/>
          <w:color w:val="1F4E79"/>
          <w:sz w:val="26"/>
          <w:lang w:val="en-US"/>
        </w:rPr>
        <w:t>Principles</w:t>
      </w:r>
      <w:r>
        <w:rPr>
          <w:rStyle w:val="eop"/>
          <w:rFonts w:cs="Arial"/>
          <w:color w:val="1F4E79"/>
          <w:sz w:val="26"/>
        </w:rPr>
        <w:t> </w:t>
      </w:r>
    </w:p>
    <w:p w14:paraId="1A9B9C9A" w14:textId="77777777" w:rsidR="001E010F" w:rsidRDefault="001E010F" w:rsidP="001E010F">
      <w:pPr>
        <w:rPr>
          <w:rFonts w:ascii="Segoe UI" w:hAnsi="Segoe UI" w:cs="Segoe UI"/>
          <w:color w:val="auto"/>
          <w:sz w:val="18"/>
          <w:szCs w:val="18"/>
        </w:rPr>
      </w:pPr>
      <w:r>
        <w:rPr>
          <w:rStyle w:val="normaltextrun"/>
          <w:rFonts w:cs="Arial"/>
          <w:color w:val="1F4E79"/>
          <w:lang w:val="en-US"/>
        </w:rPr>
        <w:t>Students, staff and visitors requiring emergency medication that cannot be self-administered are strongly advised to wear a medical alert bracelet so that necessary intervention is not delayed. This will inform others of their condition and actions to take should the individual be unresponsive. This should include </w:t>
      </w:r>
      <w:r>
        <w:rPr>
          <w:rStyle w:val="eop"/>
          <w:rFonts w:cs="Arial"/>
          <w:color w:val="1F4E79"/>
        </w:rPr>
        <w:t> </w:t>
      </w:r>
    </w:p>
    <w:p w14:paraId="5ED3815B" w14:textId="493C2DF6" w:rsidR="001E010F" w:rsidRPr="001E010F" w:rsidRDefault="001E010F" w:rsidP="001E010F">
      <w:pPr>
        <w:pStyle w:val="ListParagraph"/>
        <w:numPr>
          <w:ilvl w:val="0"/>
          <w:numId w:val="3"/>
        </w:numPr>
        <w:rPr>
          <w:szCs w:val="24"/>
        </w:rPr>
      </w:pPr>
      <w:r w:rsidRPr="001E010F">
        <w:rPr>
          <w:rStyle w:val="normaltextrun"/>
          <w:rFonts w:eastAsiaTheme="majorEastAsia" w:cs="Arial"/>
          <w:color w:val="1F4E79"/>
          <w:lang w:val="en-US"/>
        </w:rPr>
        <w:t>c</w:t>
      </w:r>
      <w:r w:rsidRPr="001E010F">
        <w:rPr>
          <w:rStyle w:val="normaltextrun"/>
          <w:rFonts w:cs="Arial"/>
          <w:color w:val="1F4E79"/>
          <w:lang w:val="en-US"/>
        </w:rPr>
        <w:t>ontacting the emergency services (i.e., calling 999). </w:t>
      </w:r>
      <w:r w:rsidRPr="001E010F">
        <w:rPr>
          <w:rStyle w:val="eop"/>
          <w:rFonts w:cs="Arial"/>
          <w:color w:val="1F4E79"/>
        </w:rPr>
        <w:t> </w:t>
      </w:r>
    </w:p>
    <w:p w14:paraId="73166FD9" w14:textId="77777777" w:rsidR="001E010F" w:rsidRDefault="001E010F" w:rsidP="001E010F">
      <w:pPr>
        <w:pStyle w:val="ListParagraph"/>
        <w:numPr>
          <w:ilvl w:val="0"/>
          <w:numId w:val="3"/>
        </w:numPr>
      </w:pPr>
      <w:r w:rsidRPr="001E010F">
        <w:rPr>
          <w:rStyle w:val="normaltextrun"/>
          <w:rFonts w:cs="Arial"/>
          <w:color w:val="1F4E79"/>
          <w:lang w:val="en-US"/>
        </w:rPr>
        <w:t>details of where the emergency medicine and any further guidance is stored about their person </w:t>
      </w:r>
      <w:r w:rsidRPr="001E010F">
        <w:rPr>
          <w:rStyle w:val="eop"/>
          <w:rFonts w:cs="Arial"/>
          <w:color w:val="1F4E79"/>
        </w:rPr>
        <w:t> </w:t>
      </w:r>
    </w:p>
    <w:p w14:paraId="3ECDD856" w14:textId="77777777" w:rsidR="001E010F" w:rsidRDefault="001E010F" w:rsidP="001E010F">
      <w:pPr>
        <w:rPr>
          <w:rFonts w:ascii="Segoe UI" w:hAnsi="Segoe UI" w:cs="Segoe UI"/>
          <w:sz w:val="18"/>
          <w:szCs w:val="18"/>
        </w:rPr>
      </w:pPr>
      <w:r>
        <w:rPr>
          <w:rStyle w:val="normaltextrun"/>
          <w:rFonts w:cs="Arial"/>
          <w:color w:val="1F4E79"/>
          <w:lang w:val="en-US"/>
        </w:rPr>
        <w:t>Any person attending to an individual who has a medic alert bracelet indicating they need emergency medication and who is not able to self-administer the medication will immediately call the emergency services. The emergency services’ operator should be informed about the information on the medic alert bracelet. The person in attendance can administer emergency medication under the instruction of the emergency operator.  The control hub should also be alerted to the situation to facilitate emergency service’s access onto campus, request a first aid response.</w:t>
      </w:r>
      <w:r>
        <w:rPr>
          <w:rStyle w:val="eop"/>
          <w:rFonts w:cs="Arial"/>
          <w:color w:val="1F4E79"/>
        </w:rPr>
        <w:t> </w:t>
      </w:r>
    </w:p>
    <w:p w14:paraId="79F1227F" w14:textId="77777777" w:rsidR="001E010F" w:rsidRDefault="001E010F" w:rsidP="001E010F">
      <w:pPr>
        <w:rPr>
          <w:rFonts w:ascii="Segoe UI" w:hAnsi="Segoe UI" w:cs="Segoe UI"/>
          <w:sz w:val="18"/>
          <w:szCs w:val="18"/>
        </w:rPr>
      </w:pPr>
      <w:r>
        <w:rPr>
          <w:rStyle w:val="normaltextrun"/>
          <w:rFonts w:cs="Arial"/>
          <w:color w:val="1F4E79"/>
          <w:lang w:val="en-US"/>
        </w:rPr>
        <w:t>If an individual has specific requirements following the administering of emergency medication (e.g., contacting a parent, guardian, or emergency contact), that person is advised to keep these with the medication where they can be easily found and read by the person in attendance.</w:t>
      </w:r>
      <w:r>
        <w:rPr>
          <w:rStyle w:val="eop"/>
          <w:rFonts w:cs="Arial"/>
          <w:color w:val="1F4E79"/>
        </w:rPr>
        <w:t> </w:t>
      </w:r>
    </w:p>
    <w:p w14:paraId="32C55860" w14:textId="77777777" w:rsidR="001E010F" w:rsidRDefault="001E010F" w:rsidP="001E010F">
      <w:pPr>
        <w:rPr>
          <w:rFonts w:ascii="Segoe UI" w:hAnsi="Segoe UI" w:cs="Segoe UI"/>
          <w:sz w:val="18"/>
          <w:szCs w:val="18"/>
        </w:rPr>
      </w:pPr>
      <w:r>
        <w:rPr>
          <w:rStyle w:val="normaltextrun"/>
          <w:rFonts w:cs="Arial"/>
          <w:color w:val="1F4E79"/>
          <w:lang w:val="en-US"/>
        </w:rPr>
        <w:t>Following the administering of the emergency medication, the person supporting the individual should continue to be in contact with the emergency operator to receive advice.</w:t>
      </w:r>
      <w:r>
        <w:rPr>
          <w:rStyle w:val="eop"/>
          <w:rFonts w:cs="Arial"/>
          <w:color w:val="1F4E79"/>
        </w:rPr>
        <w:t> </w:t>
      </w:r>
    </w:p>
    <w:p w14:paraId="5732FC94" w14:textId="77777777" w:rsidR="001E010F" w:rsidRDefault="001E010F" w:rsidP="001E010F">
      <w:pPr>
        <w:pStyle w:val="paragraph"/>
        <w:spacing w:before="0" w:beforeAutospacing="0" w:after="0" w:afterAutospacing="0"/>
        <w:textAlignment w:val="baseline"/>
        <w:rPr>
          <w:rStyle w:val="normaltextrun"/>
          <w:rFonts w:ascii="Arial" w:eastAsiaTheme="majorEastAsia" w:hAnsi="Arial" w:cs="Arial"/>
          <w:b/>
          <w:bCs/>
          <w:color w:val="1F4E79"/>
          <w:sz w:val="26"/>
          <w:lang w:val="en-US"/>
        </w:rPr>
      </w:pPr>
    </w:p>
    <w:p w14:paraId="57DC26A0" w14:textId="337629EB" w:rsidR="001E010F" w:rsidRDefault="001E010F" w:rsidP="001E010F">
      <w:pPr>
        <w:pStyle w:val="Heading2"/>
        <w:rPr>
          <w:rFonts w:ascii="Segoe UI" w:hAnsi="Segoe UI" w:cs="Segoe UI"/>
          <w:color w:val="2F5496"/>
          <w:sz w:val="18"/>
          <w:szCs w:val="18"/>
        </w:rPr>
      </w:pPr>
      <w:r>
        <w:rPr>
          <w:rStyle w:val="normaltextrun"/>
          <w:rFonts w:cs="Arial"/>
          <w:b/>
          <w:bCs/>
          <w:color w:val="1F4E79"/>
          <w:sz w:val="26"/>
          <w:lang w:val="en-US"/>
        </w:rPr>
        <w:t>Further information regarding students who require emergency medication</w:t>
      </w:r>
      <w:r>
        <w:rPr>
          <w:rStyle w:val="eop"/>
          <w:rFonts w:cs="Arial"/>
          <w:color w:val="1F4E79"/>
          <w:sz w:val="26"/>
        </w:rPr>
        <w:t> </w:t>
      </w:r>
    </w:p>
    <w:p w14:paraId="33C2BA77" w14:textId="77777777" w:rsidR="001E010F" w:rsidRDefault="001E010F" w:rsidP="001E010F">
      <w:pPr>
        <w:rPr>
          <w:rFonts w:ascii="Segoe UI" w:hAnsi="Segoe UI" w:cs="Segoe UI"/>
          <w:color w:val="auto"/>
          <w:sz w:val="18"/>
          <w:szCs w:val="18"/>
        </w:rPr>
      </w:pPr>
      <w:r>
        <w:rPr>
          <w:rStyle w:val="normaltextrun"/>
          <w:rFonts w:cs="Arial"/>
          <w:color w:val="1F4E79"/>
          <w:lang w:val="en-US"/>
        </w:rPr>
        <w:t xml:space="preserve">If a student who may require emergency medical attention is registered with Disability Services, the cohort of staff working with them will be briefed about the student’s condition, the medic alert bracelet (or similar) and the response arrangements.  The student’s situation, including response arrangements, will be documented and kept under review through their Personal Learning Support Plan </w:t>
      </w:r>
      <w:r>
        <w:rPr>
          <w:rStyle w:val="normaltextrun"/>
          <w:rFonts w:cs="Arial"/>
          <w:color w:val="1F4E79"/>
          <w:lang w:val="en-US"/>
        </w:rPr>
        <w:lastRenderedPageBreak/>
        <w:t>(PLSP) or through the Disability Services procedure for informing Support Workers of an individual student’s requirements. </w:t>
      </w:r>
      <w:r>
        <w:rPr>
          <w:rStyle w:val="eop"/>
          <w:rFonts w:cs="Arial"/>
          <w:color w:val="1F4E79"/>
        </w:rPr>
        <w:t> </w:t>
      </w:r>
    </w:p>
    <w:p w14:paraId="4A48E3FA" w14:textId="77777777" w:rsidR="001E010F" w:rsidRDefault="001E010F" w:rsidP="001E010F">
      <w:pPr>
        <w:rPr>
          <w:rStyle w:val="normaltextrun"/>
          <w:rFonts w:eastAsiaTheme="majorEastAsia" w:cs="Arial"/>
          <w:b/>
          <w:bCs/>
          <w:color w:val="1F4E79"/>
          <w:sz w:val="26"/>
          <w:lang w:val="en-US"/>
        </w:rPr>
      </w:pPr>
    </w:p>
    <w:p w14:paraId="5078481D" w14:textId="5A109C4C" w:rsidR="001E010F" w:rsidRDefault="001E010F" w:rsidP="001E010F">
      <w:pPr>
        <w:pStyle w:val="Heading2"/>
        <w:rPr>
          <w:rFonts w:ascii="Segoe UI" w:hAnsi="Segoe UI" w:cs="Segoe UI"/>
          <w:color w:val="2F5496"/>
          <w:sz w:val="18"/>
          <w:szCs w:val="18"/>
        </w:rPr>
      </w:pPr>
      <w:r>
        <w:rPr>
          <w:rStyle w:val="normaltextrun"/>
          <w:rFonts w:cs="Arial"/>
          <w:b/>
          <w:bCs/>
          <w:color w:val="1F4E79"/>
          <w:sz w:val="26"/>
          <w:lang w:val="en-US"/>
        </w:rPr>
        <w:t>Further information regarding staff who require emergency medication</w:t>
      </w:r>
      <w:r>
        <w:rPr>
          <w:rStyle w:val="eop"/>
          <w:rFonts w:cs="Arial"/>
          <w:color w:val="1F4E79"/>
          <w:sz w:val="26"/>
        </w:rPr>
        <w:t> </w:t>
      </w:r>
    </w:p>
    <w:p w14:paraId="3173550E" w14:textId="4BA5BD1B" w:rsidR="001E010F" w:rsidRDefault="001E010F" w:rsidP="001E010F">
      <w:pPr>
        <w:rPr>
          <w:rStyle w:val="eop"/>
          <w:rFonts w:cs="Arial"/>
          <w:color w:val="174E86"/>
        </w:rPr>
      </w:pPr>
      <w:r>
        <w:rPr>
          <w:rStyle w:val="normaltextrun"/>
          <w:rFonts w:cs="Arial"/>
          <w:color w:val="1F4E79"/>
          <w:lang w:val="en-US"/>
        </w:rPr>
        <w:t xml:space="preserve">If a member of staff who may require emergency medical attention has undergone an assessment with Occupational Health, an action plan is produced and agreed between the individual and their line manager. The information in the plan is shared with relevant staff and this may include </w:t>
      </w:r>
      <w:r>
        <w:rPr>
          <w:rStyle w:val="normaltextrun"/>
          <w:rFonts w:cs="Arial"/>
          <w:color w:val="174E86"/>
          <w:lang w:val="en-US"/>
        </w:rPr>
        <w:t>their immediate team or local first aiders and contacts.</w:t>
      </w:r>
      <w:r>
        <w:rPr>
          <w:rStyle w:val="eop"/>
          <w:rFonts w:cs="Arial"/>
          <w:color w:val="174E86"/>
        </w:rPr>
        <w:t> </w:t>
      </w:r>
    </w:p>
    <w:p w14:paraId="30547FD0" w14:textId="251EB16F" w:rsidR="001E010F" w:rsidRDefault="001E010F" w:rsidP="001E010F">
      <w:pPr>
        <w:pStyle w:val="Heading2"/>
        <w:rPr>
          <w:rStyle w:val="eop"/>
          <w:rFonts w:cs="Arial"/>
          <w:color w:val="174E86"/>
        </w:rPr>
      </w:pPr>
      <w:r w:rsidRPr="001E010F">
        <w:rPr>
          <w:rStyle w:val="eop"/>
          <w:b/>
          <w:bCs/>
        </w:rPr>
        <w:t>Document</w:t>
      </w:r>
      <w:r w:rsidRPr="001E010F">
        <w:rPr>
          <w:rStyle w:val="eop"/>
          <w:rFonts w:cs="Arial"/>
          <w:b/>
          <w:bCs/>
          <w:color w:val="174E86"/>
        </w:rPr>
        <w:t xml:space="preserve"> versions</w:t>
      </w:r>
      <w:r>
        <w:rPr>
          <w:rStyle w:val="eop"/>
          <w:rFonts w:cs="Arial"/>
          <w:color w:val="174E86"/>
        </w:rPr>
        <w:t>:</w:t>
      </w:r>
    </w:p>
    <w:p w14:paraId="2589A606" w14:textId="77777777" w:rsidR="001E010F" w:rsidRPr="001E010F" w:rsidRDefault="001E010F" w:rsidP="001E010F"/>
    <w:tbl>
      <w:tblPr>
        <w:tblStyle w:val="TableGrid"/>
        <w:tblW w:w="0" w:type="auto"/>
        <w:tblLook w:val="04A0" w:firstRow="1" w:lastRow="0" w:firstColumn="1" w:lastColumn="0" w:noHBand="0" w:noVBand="1"/>
      </w:tblPr>
      <w:tblGrid>
        <w:gridCol w:w="1508"/>
        <w:gridCol w:w="1385"/>
        <w:gridCol w:w="2076"/>
        <w:gridCol w:w="4047"/>
      </w:tblGrid>
      <w:tr w:rsidR="001E010F" w14:paraId="165A5397" w14:textId="77777777" w:rsidTr="001E010F">
        <w:tc>
          <w:tcPr>
            <w:tcW w:w="1526" w:type="dxa"/>
          </w:tcPr>
          <w:p w14:paraId="531010E7" w14:textId="4CCEFBBC" w:rsidR="001E010F" w:rsidRPr="001E010F" w:rsidRDefault="001E010F" w:rsidP="001E010F">
            <w:pPr>
              <w:rPr>
                <w:b/>
                <w:bCs/>
              </w:rPr>
            </w:pPr>
            <w:r w:rsidRPr="001E010F">
              <w:rPr>
                <w:b/>
                <w:bCs/>
              </w:rPr>
              <w:t>Number</w:t>
            </w:r>
          </w:p>
        </w:tc>
        <w:tc>
          <w:tcPr>
            <w:tcW w:w="1417" w:type="dxa"/>
          </w:tcPr>
          <w:p w14:paraId="2A65424A" w14:textId="16A53747" w:rsidR="001E010F" w:rsidRPr="001E010F" w:rsidRDefault="001E010F" w:rsidP="001E010F">
            <w:pPr>
              <w:rPr>
                <w:b/>
                <w:bCs/>
              </w:rPr>
            </w:pPr>
            <w:r w:rsidRPr="001E010F">
              <w:rPr>
                <w:b/>
                <w:bCs/>
              </w:rPr>
              <w:t>Date</w:t>
            </w:r>
          </w:p>
        </w:tc>
        <w:tc>
          <w:tcPr>
            <w:tcW w:w="2127" w:type="dxa"/>
          </w:tcPr>
          <w:p w14:paraId="09ACD898" w14:textId="6B0ECC6F" w:rsidR="001E010F" w:rsidRPr="001E010F" w:rsidRDefault="001E010F" w:rsidP="001E010F">
            <w:pPr>
              <w:rPr>
                <w:b/>
                <w:bCs/>
              </w:rPr>
            </w:pPr>
            <w:r w:rsidRPr="001E010F">
              <w:rPr>
                <w:b/>
                <w:bCs/>
              </w:rPr>
              <w:t>Author of change</w:t>
            </w:r>
          </w:p>
        </w:tc>
        <w:tc>
          <w:tcPr>
            <w:tcW w:w="4172" w:type="dxa"/>
          </w:tcPr>
          <w:p w14:paraId="46FDEC2D" w14:textId="1FE28D12" w:rsidR="001E010F" w:rsidRPr="001E010F" w:rsidRDefault="001E010F" w:rsidP="001E010F">
            <w:pPr>
              <w:rPr>
                <w:b/>
                <w:bCs/>
              </w:rPr>
            </w:pPr>
            <w:r w:rsidRPr="001E010F">
              <w:rPr>
                <w:b/>
                <w:bCs/>
              </w:rPr>
              <w:t>Further Information</w:t>
            </w:r>
          </w:p>
        </w:tc>
      </w:tr>
      <w:tr w:rsidR="001E010F" w14:paraId="0A3D0E32" w14:textId="77777777" w:rsidTr="001E010F">
        <w:tc>
          <w:tcPr>
            <w:tcW w:w="1526" w:type="dxa"/>
          </w:tcPr>
          <w:p w14:paraId="22458825" w14:textId="1479862C" w:rsidR="001E010F" w:rsidRDefault="001E010F" w:rsidP="001E010F">
            <w:r>
              <w:t>Version 1.0</w:t>
            </w:r>
          </w:p>
        </w:tc>
        <w:tc>
          <w:tcPr>
            <w:tcW w:w="1417" w:type="dxa"/>
          </w:tcPr>
          <w:p w14:paraId="6084C76F" w14:textId="0BB891F5" w:rsidR="001E010F" w:rsidRDefault="001E010F" w:rsidP="001E010F">
            <w:r>
              <w:t>Sept 2022</w:t>
            </w:r>
          </w:p>
        </w:tc>
        <w:tc>
          <w:tcPr>
            <w:tcW w:w="2127" w:type="dxa"/>
          </w:tcPr>
          <w:p w14:paraId="60E3DEEA" w14:textId="27373EAC" w:rsidR="001E010F" w:rsidRDefault="001E010F" w:rsidP="001E010F">
            <w:r>
              <w:t>Original version</w:t>
            </w:r>
          </w:p>
        </w:tc>
        <w:tc>
          <w:tcPr>
            <w:tcW w:w="4172" w:type="dxa"/>
          </w:tcPr>
          <w:p w14:paraId="20EB9EF0" w14:textId="77777777" w:rsidR="001E010F" w:rsidRDefault="001E010F" w:rsidP="001E010F"/>
        </w:tc>
      </w:tr>
      <w:tr w:rsidR="001E010F" w14:paraId="58817A58" w14:textId="77777777" w:rsidTr="001E010F">
        <w:tc>
          <w:tcPr>
            <w:tcW w:w="1526" w:type="dxa"/>
          </w:tcPr>
          <w:p w14:paraId="63563FB2" w14:textId="77777777" w:rsidR="001E010F" w:rsidRDefault="001E010F" w:rsidP="001E010F"/>
        </w:tc>
        <w:tc>
          <w:tcPr>
            <w:tcW w:w="1417" w:type="dxa"/>
          </w:tcPr>
          <w:p w14:paraId="7ED67DF4" w14:textId="77777777" w:rsidR="001E010F" w:rsidRDefault="001E010F" w:rsidP="001E010F"/>
        </w:tc>
        <w:tc>
          <w:tcPr>
            <w:tcW w:w="2127" w:type="dxa"/>
          </w:tcPr>
          <w:p w14:paraId="05AB083C" w14:textId="77777777" w:rsidR="001E010F" w:rsidRDefault="001E010F" w:rsidP="001E010F"/>
        </w:tc>
        <w:tc>
          <w:tcPr>
            <w:tcW w:w="4172" w:type="dxa"/>
          </w:tcPr>
          <w:p w14:paraId="0D678C63" w14:textId="77777777" w:rsidR="001E010F" w:rsidRDefault="001E010F" w:rsidP="001E010F"/>
        </w:tc>
      </w:tr>
      <w:tr w:rsidR="001E010F" w14:paraId="5EE9A562" w14:textId="77777777" w:rsidTr="001E010F">
        <w:tc>
          <w:tcPr>
            <w:tcW w:w="1526" w:type="dxa"/>
          </w:tcPr>
          <w:p w14:paraId="7A3F6DA3" w14:textId="77777777" w:rsidR="001E010F" w:rsidRDefault="001E010F" w:rsidP="001E010F"/>
        </w:tc>
        <w:tc>
          <w:tcPr>
            <w:tcW w:w="1417" w:type="dxa"/>
          </w:tcPr>
          <w:p w14:paraId="6E5E0717" w14:textId="77777777" w:rsidR="001E010F" w:rsidRDefault="001E010F" w:rsidP="001E010F"/>
        </w:tc>
        <w:tc>
          <w:tcPr>
            <w:tcW w:w="2127" w:type="dxa"/>
          </w:tcPr>
          <w:p w14:paraId="2842E761" w14:textId="77777777" w:rsidR="001E010F" w:rsidRDefault="001E010F" w:rsidP="001E010F"/>
        </w:tc>
        <w:tc>
          <w:tcPr>
            <w:tcW w:w="4172" w:type="dxa"/>
          </w:tcPr>
          <w:p w14:paraId="29B34EFA" w14:textId="77777777" w:rsidR="001E010F" w:rsidRDefault="001E010F" w:rsidP="001E010F"/>
        </w:tc>
      </w:tr>
      <w:tr w:rsidR="001E010F" w14:paraId="3322EA0E" w14:textId="77777777" w:rsidTr="001E010F">
        <w:tc>
          <w:tcPr>
            <w:tcW w:w="1526" w:type="dxa"/>
          </w:tcPr>
          <w:p w14:paraId="447A9544" w14:textId="77777777" w:rsidR="001E010F" w:rsidRDefault="001E010F" w:rsidP="001E010F"/>
        </w:tc>
        <w:tc>
          <w:tcPr>
            <w:tcW w:w="1417" w:type="dxa"/>
          </w:tcPr>
          <w:p w14:paraId="2DBD246D" w14:textId="77777777" w:rsidR="001E010F" w:rsidRDefault="001E010F" w:rsidP="001E010F"/>
        </w:tc>
        <w:tc>
          <w:tcPr>
            <w:tcW w:w="2127" w:type="dxa"/>
          </w:tcPr>
          <w:p w14:paraId="4C2B3174" w14:textId="77777777" w:rsidR="001E010F" w:rsidRDefault="001E010F" w:rsidP="001E010F"/>
        </w:tc>
        <w:tc>
          <w:tcPr>
            <w:tcW w:w="4172" w:type="dxa"/>
          </w:tcPr>
          <w:p w14:paraId="30151066" w14:textId="77777777" w:rsidR="001E010F" w:rsidRDefault="001E010F" w:rsidP="001E010F"/>
        </w:tc>
      </w:tr>
    </w:tbl>
    <w:p w14:paraId="16ED34DC" w14:textId="77777777" w:rsidR="001E010F" w:rsidRDefault="001E010F" w:rsidP="001E010F">
      <w:pPr>
        <w:rPr>
          <w:rFonts w:ascii="Segoe UI" w:hAnsi="Segoe UI" w:cs="Segoe UI"/>
          <w:color w:val="auto"/>
          <w:sz w:val="18"/>
          <w:szCs w:val="18"/>
        </w:rPr>
      </w:pPr>
    </w:p>
    <w:p w14:paraId="42E30333" w14:textId="77777777" w:rsidR="00ED4DE7" w:rsidRDefault="00ED4DE7"/>
    <w:sectPr w:rsidR="00ED4DE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1A17" w14:textId="77777777" w:rsidR="001E010F" w:rsidRDefault="001E010F" w:rsidP="001E010F">
      <w:pPr>
        <w:spacing w:after="0" w:line="240" w:lineRule="auto"/>
      </w:pPr>
      <w:r>
        <w:separator/>
      </w:r>
    </w:p>
  </w:endnote>
  <w:endnote w:type="continuationSeparator" w:id="0">
    <w:p w14:paraId="202F5871" w14:textId="77777777" w:rsidR="001E010F" w:rsidRDefault="001E010F" w:rsidP="001E0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6DCF0" w14:textId="2DBD68F6" w:rsidR="001E010F" w:rsidRDefault="001E010F">
    <w:pPr>
      <w:pStyle w:val="Footer"/>
    </w:pPr>
  </w:p>
  <w:p w14:paraId="500784B7" w14:textId="77777777" w:rsidR="001E010F" w:rsidRDefault="001E0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1D68" w14:textId="77777777" w:rsidR="001E010F" w:rsidRDefault="001E010F" w:rsidP="001E010F">
      <w:pPr>
        <w:spacing w:after="0" w:line="240" w:lineRule="auto"/>
      </w:pPr>
      <w:r>
        <w:separator/>
      </w:r>
    </w:p>
  </w:footnote>
  <w:footnote w:type="continuationSeparator" w:id="0">
    <w:p w14:paraId="5B196496" w14:textId="77777777" w:rsidR="001E010F" w:rsidRDefault="001E010F" w:rsidP="001E0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426A5"/>
    <w:multiLevelType w:val="hybridMultilevel"/>
    <w:tmpl w:val="9872D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0C1C8A"/>
    <w:multiLevelType w:val="multilevel"/>
    <w:tmpl w:val="17B4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6E35A9"/>
    <w:multiLevelType w:val="hybridMultilevel"/>
    <w:tmpl w:val="B192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877495">
    <w:abstractNumId w:val="1"/>
  </w:num>
  <w:num w:numId="2" w16cid:durableId="575671898">
    <w:abstractNumId w:val="2"/>
  </w:num>
  <w:num w:numId="3" w16cid:durableId="1580098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0F"/>
    <w:rsid w:val="001E010F"/>
    <w:rsid w:val="00410B5E"/>
    <w:rsid w:val="008750B8"/>
    <w:rsid w:val="008B7D16"/>
    <w:rsid w:val="00AF3181"/>
    <w:rsid w:val="00C50AEA"/>
    <w:rsid w:val="00D7463A"/>
    <w:rsid w:val="00E078F0"/>
    <w:rsid w:val="00ED4DE7"/>
    <w:rsid w:val="00F22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FC6E"/>
  <w15:chartTrackingRefBased/>
  <w15:docId w15:val="{4B73B755-F417-455E-BA5A-E31FAD8D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5E"/>
    <w:rPr>
      <w:color w:val="1F4E79" w:themeColor="accent5" w:themeShade="80"/>
      <w:szCs w:val="22"/>
    </w:rPr>
  </w:style>
  <w:style w:type="paragraph" w:styleId="Heading1">
    <w:name w:val="heading 1"/>
    <w:basedOn w:val="Normal"/>
    <w:next w:val="Normal"/>
    <w:link w:val="Heading1Char"/>
    <w:uiPriority w:val="9"/>
    <w:qFormat/>
    <w:rsid w:val="00410B5E"/>
    <w:pPr>
      <w:keepNext/>
      <w:keepLines/>
      <w:spacing w:before="240" w:after="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1E010F"/>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AF3181"/>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qFormat/>
    <w:rsid w:val="00F22608"/>
    <w:pPr>
      <w:spacing w:line="256" w:lineRule="auto"/>
    </w:pPr>
    <w:rPr>
      <w:b/>
    </w:rPr>
  </w:style>
  <w:style w:type="character" w:customStyle="1" w:styleId="Heading1Char">
    <w:name w:val="Heading 1 Char"/>
    <w:basedOn w:val="DefaultParagraphFont"/>
    <w:link w:val="Heading1"/>
    <w:uiPriority w:val="9"/>
    <w:rsid w:val="00410B5E"/>
    <w:rPr>
      <w:rFonts w:eastAsiaTheme="majorEastAsia" w:cstheme="majorBidi"/>
      <w:color w:val="2F5496" w:themeColor="accent1" w:themeShade="BF"/>
      <w:sz w:val="28"/>
      <w:szCs w:val="32"/>
    </w:rPr>
  </w:style>
  <w:style w:type="paragraph" w:customStyle="1" w:styleId="Style2">
    <w:name w:val="Style2"/>
    <w:basedOn w:val="Heading2"/>
    <w:autoRedefine/>
    <w:qFormat/>
    <w:rsid w:val="00F22608"/>
    <w:pPr>
      <w:spacing w:line="256" w:lineRule="auto"/>
    </w:pPr>
    <w:rPr>
      <w:b/>
    </w:rPr>
  </w:style>
  <w:style w:type="character" w:customStyle="1" w:styleId="Heading2Char">
    <w:name w:val="Heading 2 Char"/>
    <w:basedOn w:val="DefaultParagraphFont"/>
    <w:link w:val="Heading2"/>
    <w:uiPriority w:val="9"/>
    <w:rsid w:val="001E010F"/>
    <w:rPr>
      <w:rFonts w:eastAsiaTheme="majorEastAsia" w:cstheme="majorBidi"/>
      <w:color w:val="1F4E79" w:themeColor="accent5" w:themeShade="80"/>
      <w:szCs w:val="26"/>
    </w:rPr>
  </w:style>
  <w:style w:type="paragraph" w:customStyle="1" w:styleId="Style3">
    <w:name w:val="Style3"/>
    <w:basedOn w:val="Normal"/>
    <w:autoRedefine/>
    <w:qFormat/>
    <w:rsid w:val="00F22608"/>
  </w:style>
  <w:style w:type="paragraph" w:customStyle="1" w:styleId="Style4">
    <w:name w:val="Style4"/>
    <w:basedOn w:val="Normal"/>
    <w:autoRedefine/>
    <w:qFormat/>
    <w:rsid w:val="00F22608"/>
  </w:style>
  <w:style w:type="paragraph" w:customStyle="1" w:styleId="Style5">
    <w:name w:val="Style5"/>
    <w:basedOn w:val="Normal"/>
    <w:autoRedefine/>
    <w:qFormat/>
    <w:rsid w:val="00F22608"/>
  </w:style>
  <w:style w:type="character" w:customStyle="1" w:styleId="Heading3Char">
    <w:name w:val="Heading 3 Char"/>
    <w:basedOn w:val="DefaultParagraphFont"/>
    <w:link w:val="Heading3"/>
    <w:uiPriority w:val="9"/>
    <w:rsid w:val="00AF3181"/>
    <w:rPr>
      <w:rFonts w:eastAsiaTheme="majorEastAsia" w:cstheme="majorBidi"/>
      <w:b/>
      <w:color w:val="2F5496" w:themeColor="accent1" w:themeShade="BF"/>
    </w:rPr>
  </w:style>
  <w:style w:type="paragraph" w:customStyle="1" w:styleId="paragraph">
    <w:name w:val="paragraph"/>
    <w:basedOn w:val="Normal"/>
    <w:rsid w:val="001E010F"/>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1E010F"/>
  </w:style>
  <w:style w:type="character" w:customStyle="1" w:styleId="eop">
    <w:name w:val="eop"/>
    <w:basedOn w:val="DefaultParagraphFont"/>
    <w:rsid w:val="001E010F"/>
  </w:style>
  <w:style w:type="paragraph" w:styleId="ListParagraph">
    <w:name w:val="List Paragraph"/>
    <w:basedOn w:val="Normal"/>
    <w:uiPriority w:val="34"/>
    <w:qFormat/>
    <w:rsid w:val="001E010F"/>
    <w:pPr>
      <w:ind w:left="720"/>
      <w:contextualSpacing/>
    </w:pPr>
  </w:style>
  <w:style w:type="table" w:styleId="TableGrid">
    <w:name w:val="Table Grid"/>
    <w:basedOn w:val="TableNormal"/>
    <w:uiPriority w:val="39"/>
    <w:rsid w:val="001E0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10F"/>
    <w:rPr>
      <w:color w:val="1F4E79" w:themeColor="accent5" w:themeShade="80"/>
      <w:szCs w:val="22"/>
    </w:rPr>
  </w:style>
  <w:style w:type="paragraph" w:styleId="Footer">
    <w:name w:val="footer"/>
    <w:basedOn w:val="Normal"/>
    <w:link w:val="FooterChar"/>
    <w:uiPriority w:val="99"/>
    <w:unhideWhenUsed/>
    <w:rsid w:val="001E0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10F"/>
    <w:rPr>
      <w:color w:val="1F4E79" w:themeColor="accent5" w:themeShade="8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4211">
      <w:bodyDiv w:val="1"/>
      <w:marLeft w:val="0"/>
      <w:marRight w:val="0"/>
      <w:marTop w:val="0"/>
      <w:marBottom w:val="0"/>
      <w:divBdr>
        <w:top w:val="none" w:sz="0" w:space="0" w:color="auto"/>
        <w:left w:val="none" w:sz="0" w:space="0" w:color="auto"/>
        <w:bottom w:val="none" w:sz="0" w:space="0" w:color="auto"/>
        <w:right w:val="none" w:sz="0" w:space="0" w:color="auto"/>
      </w:divBdr>
      <w:divsChild>
        <w:div w:id="893811550">
          <w:marLeft w:val="0"/>
          <w:marRight w:val="0"/>
          <w:marTop w:val="0"/>
          <w:marBottom w:val="0"/>
          <w:divBdr>
            <w:top w:val="none" w:sz="0" w:space="0" w:color="auto"/>
            <w:left w:val="none" w:sz="0" w:space="0" w:color="auto"/>
            <w:bottom w:val="none" w:sz="0" w:space="0" w:color="auto"/>
            <w:right w:val="none" w:sz="0" w:space="0" w:color="auto"/>
          </w:divBdr>
        </w:div>
        <w:div w:id="1923298896">
          <w:marLeft w:val="0"/>
          <w:marRight w:val="0"/>
          <w:marTop w:val="0"/>
          <w:marBottom w:val="0"/>
          <w:divBdr>
            <w:top w:val="none" w:sz="0" w:space="0" w:color="auto"/>
            <w:left w:val="none" w:sz="0" w:space="0" w:color="auto"/>
            <w:bottom w:val="none" w:sz="0" w:space="0" w:color="auto"/>
            <w:right w:val="none" w:sz="0" w:space="0" w:color="auto"/>
          </w:divBdr>
        </w:div>
        <w:div w:id="572593169">
          <w:marLeft w:val="0"/>
          <w:marRight w:val="0"/>
          <w:marTop w:val="0"/>
          <w:marBottom w:val="0"/>
          <w:divBdr>
            <w:top w:val="none" w:sz="0" w:space="0" w:color="auto"/>
            <w:left w:val="none" w:sz="0" w:space="0" w:color="auto"/>
            <w:bottom w:val="none" w:sz="0" w:space="0" w:color="auto"/>
            <w:right w:val="none" w:sz="0" w:space="0" w:color="auto"/>
          </w:divBdr>
        </w:div>
        <w:div w:id="1656759268">
          <w:marLeft w:val="0"/>
          <w:marRight w:val="0"/>
          <w:marTop w:val="0"/>
          <w:marBottom w:val="0"/>
          <w:divBdr>
            <w:top w:val="none" w:sz="0" w:space="0" w:color="auto"/>
            <w:left w:val="none" w:sz="0" w:space="0" w:color="auto"/>
            <w:bottom w:val="none" w:sz="0" w:space="0" w:color="auto"/>
            <w:right w:val="none" w:sz="0" w:space="0" w:color="auto"/>
          </w:divBdr>
        </w:div>
        <w:div w:id="2046173731">
          <w:marLeft w:val="0"/>
          <w:marRight w:val="0"/>
          <w:marTop w:val="0"/>
          <w:marBottom w:val="0"/>
          <w:divBdr>
            <w:top w:val="none" w:sz="0" w:space="0" w:color="auto"/>
            <w:left w:val="none" w:sz="0" w:space="0" w:color="auto"/>
            <w:bottom w:val="none" w:sz="0" w:space="0" w:color="auto"/>
            <w:right w:val="none" w:sz="0" w:space="0" w:color="auto"/>
          </w:divBdr>
        </w:div>
        <w:div w:id="1475833641">
          <w:marLeft w:val="0"/>
          <w:marRight w:val="0"/>
          <w:marTop w:val="0"/>
          <w:marBottom w:val="0"/>
          <w:divBdr>
            <w:top w:val="none" w:sz="0" w:space="0" w:color="auto"/>
            <w:left w:val="none" w:sz="0" w:space="0" w:color="auto"/>
            <w:bottom w:val="none" w:sz="0" w:space="0" w:color="auto"/>
            <w:right w:val="none" w:sz="0" w:space="0" w:color="auto"/>
          </w:divBdr>
          <w:divsChild>
            <w:div w:id="681081249">
              <w:marLeft w:val="0"/>
              <w:marRight w:val="0"/>
              <w:marTop w:val="0"/>
              <w:marBottom w:val="0"/>
              <w:divBdr>
                <w:top w:val="none" w:sz="0" w:space="0" w:color="auto"/>
                <w:left w:val="none" w:sz="0" w:space="0" w:color="auto"/>
                <w:bottom w:val="none" w:sz="0" w:space="0" w:color="auto"/>
                <w:right w:val="none" w:sz="0" w:space="0" w:color="auto"/>
              </w:divBdr>
            </w:div>
            <w:div w:id="1015500929">
              <w:marLeft w:val="0"/>
              <w:marRight w:val="0"/>
              <w:marTop w:val="0"/>
              <w:marBottom w:val="0"/>
              <w:divBdr>
                <w:top w:val="none" w:sz="0" w:space="0" w:color="auto"/>
                <w:left w:val="none" w:sz="0" w:space="0" w:color="auto"/>
                <w:bottom w:val="none" w:sz="0" w:space="0" w:color="auto"/>
                <w:right w:val="none" w:sz="0" w:space="0" w:color="auto"/>
              </w:divBdr>
            </w:div>
            <w:div w:id="2030258940">
              <w:marLeft w:val="0"/>
              <w:marRight w:val="0"/>
              <w:marTop w:val="0"/>
              <w:marBottom w:val="0"/>
              <w:divBdr>
                <w:top w:val="none" w:sz="0" w:space="0" w:color="auto"/>
                <w:left w:val="none" w:sz="0" w:space="0" w:color="auto"/>
                <w:bottom w:val="none" w:sz="0" w:space="0" w:color="auto"/>
                <w:right w:val="none" w:sz="0" w:space="0" w:color="auto"/>
              </w:divBdr>
            </w:div>
            <w:div w:id="1302073941">
              <w:marLeft w:val="0"/>
              <w:marRight w:val="0"/>
              <w:marTop w:val="0"/>
              <w:marBottom w:val="0"/>
              <w:divBdr>
                <w:top w:val="none" w:sz="0" w:space="0" w:color="auto"/>
                <w:left w:val="none" w:sz="0" w:space="0" w:color="auto"/>
                <w:bottom w:val="none" w:sz="0" w:space="0" w:color="auto"/>
                <w:right w:val="none" w:sz="0" w:space="0" w:color="auto"/>
              </w:divBdr>
            </w:div>
          </w:divsChild>
        </w:div>
        <w:div w:id="784616810">
          <w:marLeft w:val="0"/>
          <w:marRight w:val="0"/>
          <w:marTop w:val="0"/>
          <w:marBottom w:val="0"/>
          <w:divBdr>
            <w:top w:val="none" w:sz="0" w:space="0" w:color="auto"/>
            <w:left w:val="none" w:sz="0" w:space="0" w:color="auto"/>
            <w:bottom w:val="none" w:sz="0" w:space="0" w:color="auto"/>
            <w:right w:val="none" w:sz="0" w:space="0" w:color="auto"/>
          </w:divBdr>
        </w:div>
        <w:div w:id="1997108183">
          <w:marLeft w:val="0"/>
          <w:marRight w:val="0"/>
          <w:marTop w:val="0"/>
          <w:marBottom w:val="0"/>
          <w:divBdr>
            <w:top w:val="none" w:sz="0" w:space="0" w:color="auto"/>
            <w:left w:val="none" w:sz="0" w:space="0" w:color="auto"/>
            <w:bottom w:val="none" w:sz="0" w:space="0" w:color="auto"/>
            <w:right w:val="none" w:sz="0" w:space="0" w:color="auto"/>
          </w:divBdr>
        </w:div>
        <w:div w:id="653531759">
          <w:marLeft w:val="0"/>
          <w:marRight w:val="0"/>
          <w:marTop w:val="0"/>
          <w:marBottom w:val="0"/>
          <w:divBdr>
            <w:top w:val="none" w:sz="0" w:space="0" w:color="auto"/>
            <w:left w:val="none" w:sz="0" w:space="0" w:color="auto"/>
            <w:bottom w:val="none" w:sz="0" w:space="0" w:color="auto"/>
            <w:right w:val="none" w:sz="0" w:space="0" w:color="auto"/>
          </w:divBdr>
        </w:div>
        <w:div w:id="652804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2770</Characters>
  <Application>Microsoft Office Word</Application>
  <DocSecurity>4</DocSecurity>
  <Lines>23</Lines>
  <Paragraphs>6</Paragraphs>
  <ScaleCrop>false</ScaleCrop>
  <Company>
  </Company>
  <LinksUpToDate>false</LinksUpToDate>
  <CharactersWithSpaces>3249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Principles for administering emergency medication</dc:title>
  <dc:subject/>
  <dc:creator>Jo Mitchell</dc:creator>
  <keywords/>
  <dc:description/>
  <lastModifiedBy>Gary Wood</lastModifiedBy>
  <revision>2</revision>
  <dcterms:created xsi:type="dcterms:W3CDTF">2022-11-03T00:00:00.0000000Z</dcterms:created>
  <dcterms:modified xsi:type="dcterms:W3CDTF">2022-11-03T09:22:00.0000000Z</dcterms:modified>
</coreProperties>
</file>